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40E" w:rsidRPr="00CC440E" w:rsidRDefault="00E543C0" w:rsidP="00775A20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2D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BADANIE GENETYCZNE W KIERUNKU CHOROBY WILSONA   (BADANIA DNA W KIERUNKU OBECNOŚCI MUTACJI W GENIE </w:t>
      </w:r>
      <w:r w:rsidRPr="00252D09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ATP7B</w:t>
      </w:r>
      <w:r w:rsidR="00CC440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CC440E">
        <w:rPr>
          <w:rStyle w:val="Pogrubienie"/>
        </w:rPr>
        <w:t>____________________________________________________________________________</w:t>
      </w:r>
    </w:p>
    <w:p w:rsidR="00E543C0" w:rsidRPr="00E543C0" w:rsidRDefault="00E543C0" w:rsidP="00775A20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Choroba Wilsona (</w:t>
      </w:r>
      <w:proofErr w:type="spellStart"/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ChW</w:t>
      </w:r>
      <w:proofErr w:type="spellEnd"/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 należy do grupy chorób uwarunkowanych genetycznie, charakteryzuje się dziedziczeniem autosomalnym recesywnym. Za wystąpienie choroby odpowiedzialne są mutacje w genie </w:t>
      </w:r>
      <w:r w:rsidRPr="00E543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ATP7B</w:t>
      </w:r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 kodującym ATP-azę7B. Gen ten, złożony z 21 </w:t>
      </w:r>
      <w:proofErr w:type="spellStart"/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eksonów</w:t>
      </w:r>
      <w:proofErr w:type="spellEnd"/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zlokalizowano na długim ramieniu chromosomu 13 (13q14.3)</w:t>
      </w:r>
    </w:p>
    <w:p w:rsidR="00E543C0" w:rsidRPr="00E543C0" w:rsidRDefault="00E543C0" w:rsidP="00775A20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808080"/>
          <w:sz w:val="24"/>
          <w:szCs w:val="24"/>
          <w:lang w:eastAsia="pl-PL"/>
        </w:rPr>
      </w:pPr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Mutacje w genie </w:t>
      </w:r>
      <w:r w:rsidRPr="00E543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ATP7B</w:t>
      </w:r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powodują zaburzenia aktywności enzymatycznej ATP-</w:t>
      </w:r>
      <w:proofErr w:type="spellStart"/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azy</w:t>
      </w:r>
      <w:proofErr w:type="spellEnd"/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7B. ATP-aza7B to enzym błonowy, obecny głównie w </w:t>
      </w:r>
      <w:proofErr w:type="spellStart"/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hepatocytach</w:t>
      </w:r>
      <w:proofErr w:type="spellEnd"/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Fizjologiczną funkcją ATP-azy7B jest aktywny transport miedzi w komórkach wątrobowych. Zmiany w strukturze białka i zmniejszenie jego aktywności enzymatycznej są związane z upośledzeniem transportu miedzi w organizmie: zahamowaniem wiązania się miedzi do </w:t>
      </w:r>
      <w:proofErr w:type="spellStart"/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apoceruloplazminy</w:t>
      </w:r>
      <w:proofErr w:type="spellEnd"/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komórkach wątroby oraz zaburzeniem wydalania miedzi z żółcią drogą jelitową. Powoduje to gromadzenie się miedzi w wątrobie. Po przekroczeniu progu wydolności </w:t>
      </w:r>
      <w:proofErr w:type="spellStart"/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hepatocytów</w:t>
      </w:r>
      <w:proofErr w:type="spellEnd"/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do magazynowania miedzi, dochodzi do ich uszkodzenia i uwolnienia miedzi do krwiobiegu. Miedź, znajdująca się w krążeniu w postaci niezwiązanej z </w:t>
      </w:r>
      <w:proofErr w:type="spellStart"/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ceruloplazminą</w:t>
      </w:r>
      <w:proofErr w:type="spellEnd"/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(tzw. „wolna miedź”), jest wysoce toksyczna, a także bardzo łatwo gromadzi się w różnych narządach, m.in. w mózgu, nerkach czy rogówce.</w:t>
      </w:r>
    </w:p>
    <w:p w:rsidR="00E543C0" w:rsidRPr="00E543C0" w:rsidRDefault="00E543C0" w:rsidP="00775A20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proofErr w:type="spellStart"/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ChW</w:t>
      </w:r>
      <w:proofErr w:type="spellEnd"/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należy do grupy chorób dziedziczonych autosomalnie recesywnie - objawy kliniczne występują u osób z patogenną mutacją w obu allelach genu </w:t>
      </w:r>
      <w:r w:rsidRPr="00E543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ATP7B</w:t>
      </w:r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Potwierdzenie obecności mutacji w obu allelach przy pomocy badań genetycznych rozstrzyga o rozpoznaniu </w:t>
      </w:r>
      <w:proofErr w:type="spellStart"/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ChW</w:t>
      </w:r>
      <w:proofErr w:type="spellEnd"/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:rsidR="00E543C0" w:rsidRPr="00E543C0" w:rsidRDefault="00E543C0" w:rsidP="00775A20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Ze względu na ogromną różnorodność mutacji w genie </w:t>
      </w:r>
      <w:r w:rsidRPr="00E543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ATP7B</w:t>
      </w:r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(dotychczas opisano ponad 340 mutacji; w tym w populacji polskiej około 30), w wielu populacjach przydatność badań genetycznych w rutynowej diagnostyce jest stosunkowo niewielka – zwłaszcza przy uwzględnieniu wysokich kosztów badań. Jednak w populacjach, w których obserwuje się dominację jednej bądź kilku mutacji w genie </w:t>
      </w:r>
      <w:r w:rsidRPr="00E543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ATP7B</w:t>
      </w:r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możliwe jest opracowanie szybkich, stosunkowo niedrogich, przesiewowych badań genetycznych, które są bardzo użyteczne w diagnozowaniu choroby.</w:t>
      </w:r>
    </w:p>
    <w:p w:rsidR="00E543C0" w:rsidRDefault="004822E0" w:rsidP="00775A20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Pracowni Neuroimmunologii Kliniki Neurologii i Chorób Neurodegeneracyjnych </w:t>
      </w:r>
      <w:r w:rsidR="00E543C0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wykonywane są</w:t>
      </w:r>
      <w:r w:rsidR="00E543C0" w:rsidRPr="00252D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badania genetyczne, mające na celu wykrycie mutacji najczęściej występujących w populacji polskiej chorych na chorobę Wilsona (</w:t>
      </w:r>
      <w:proofErr w:type="spellStart"/>
      <w:r w:rsidR="00E543C0" w:rsidRPr="00252D09">
        <w:rPr>
          <w:rFonts w:ascii="Times New Roman" w:eastAsia="Times New Roman" w:hAnsi="Times New Roman" w:cs="Times New Roman"/>
          <w:sz w:val="24"/>
          <w:szCs w:val="24"/>
          <w:lang w:eastAsia="pl-PL"/>
        </w:rPr>
        <w:t>ChW</w:t>
      </w:r>
      <w:proofErr w:type="spellEnd"/>
      <w:r w:rsidR="00E543C0" w:rsidRPr="00252D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(są to mutacje wykryte na więcej niż 1% wszystkich alleli w analizie przeprowadzonej na 143 chorych z </w:t>
      </w:r>
      <w:proofErr w:type="spellStart"/>
      <w:r w:rsidR="00E543C0" w:rsidRPr="00252D09">
        <w:rPr>
          <w:rFonts w:ascii="Times New Roman" w:eastAsia="Times New Roman" w:hAnsi="Times New Roman" w:cs="Times New Roman"/>
          <w:sz w:val="24"/>
          <w:szCs w:val="24"/>
          <w:lang w:eastAsia="pl-PL"/>
        </w:rPr>
        <w:t>ChW</w:t>
      </w:r>
      <w:proofErr w:type="spellEnd"/>
      <w:r w:rsidR="00E543C0" w:rsidRPr="00252D09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  <w:r w:rsidR="00E543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Metodą</w:t>
      </w:r>
      <w:r w:rsidRPr="004822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52D09">
        <w:rPr>
          <w:rFonts w:ascii="Times New Roman" w:eastAsia="Times New Roman" w:hAnsi="Times New Roman" w:cs="Times New Roman"/>
          <w:sz w:val="24"/>
          <w:szCs w:val="24"/>
          <w:lang w:eastAsia="pl-PL"/>
        </w:rPr>
        <w:t>PCR-RFLP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543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badane są </w:t>
      </w:r>
      <w:proofErr w:type="spellStart"/>
      <w:r w:rsidR="00E543C0">
        <w:rPr>
          <w:rFonts w:ascii="Times New Roman" w:eastAsia="Times New Roman" w:hAnsi="Times New Roman" w:cs="Times New Roman"/>
          <w:sz w:val="24"/>
          <w:szCs w:val="24"/>
          <w:lang w:eastAsia="pl-PL"/>
        </w:rPr>
        <w:t>exony</w:t>
      </w:r>
      <w:proofErr w:type="spellEnd"/>
      <w:r w:rsidR="00E543C0">
        <w:rPr>
          <w:rFonts w:ascii="Times New Roman" w:eastAsia="Times New Roman" w:hAnsi="Times New Roman" w:cs="Times New Roman"/>
          <w:sz w:val="24"/>
          <w:szCs w:val="24"/>
          <w:lang w:eastAsia="pl-PL"/>
        </w:rPr>
        <w:t>: 14, 15, 20.</w:t>
      </w:r>
    </w:p>
    <w:p w:rsidR="00775A20" w:rsidRDefault="00775A20" w:rsidP="00775A2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75A20" w:rsidRDefault="00775A20" w:rsidP="00775A2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75A20" w:rsidRDefault="00775A20" w:rsidP="00775A2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75A20" w:rsidRDefault="00775A20" w:rsidP="00775A2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543C0" w:rsidRPr="00252D09" w:rsidRDefault="00E543C0" w:rsidP="00775A2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Najczęstszymi mutacjami są</w:t>
      </w:r>
      <w:r w:rsidRPr="00252D09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60"/>
        <w:gridCol w:w="2160"/>
        <w:gridCol w:w="2055"/>
      </w:tblGrid>
      <w:tr w:rsidR="00E543C0" w:rsidRPr="00E543C0" w:rsidTr="00E543C0">
        <w:tc>
          <w:tcPr>
            <w:tcW w:w="1560" w:type="dxa"/>
            <w:shd w:val="pct10" w:color="auto" w:fill="auto"/>
            <w:hideMark/>
          </w:tcPr>
          <w:p w:rsidR="00E543C0" w:rsidRPr="00E543C0" w:rsidRDefault="00E543C0" w:rsidP="00775A20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proofErr w:type="spellStart"/>
            <w:r w:rsidRPr="00E54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Ekson</w:t>
            </w:r>
            <w:proofErr w:type="spellEnd"/>
          </w:p>
        </w:tc>
        <w:tc>
          <w:tcPr>
            <w:tcW w:w="2160" w:type="dxa"/>
            <w:shd w:val="pct10" w:color="auto" w:fill="auto"/>
            <w:hideMark/>
          </w:tcPr>
          <w:p w:rsidR="00E543C0" w:rsidRPr="00E543C0" w:rsidRDefault="00E543C0" w:rsidP="00775A20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54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Mutacja</w:t>
            </w:r>
          </w:p>
          <w:p w:rsidR="00E543C0" w:rsidRPr="00E543C0" w:rsidRDefault="00E543C0" w:rsidP="00775A20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54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(DNA)</w:t>
            </w:r>
          </w:p>
        </w:tc>
        <w:tc>
          <w:tcPr>
            <w:tcW w:w="2055" w:type="dxa"/>
            <w:shd w:val="pct10" w:color="auto" w:fill="auto"/>
            <w:hideMark/>
          </w:tcPr>
          <w:p w:rsidR="00E543C0" w:rsidRPr="00E543C0" w:rsidRDefault="00E543C0" w:rsidP="00775A20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54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Mutacja (białko)</w:t>
            </w:r>
          </w:p>
        </w:tc>
      </w:tr>
      <w:tr w:rsidR="00E543C0" w:rsidRPr="00252D09" w:rsidTr="00E543C0">
        <w:tc>
          <w:tcPr>
            <w:tcW w:w="1560" w:type="dxa"/>
            <w:shd w:val="pct10" w:color="auto" w:fill="auto"/>
            <w:hideMark/>
          </w:tcPr>
          <w:p w:rsidR="00E543C0" w:rsidRPr="00252D09" w:rsidRDefault="00E543C0" w:rsidP="00775A20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5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2160" w:type="dxa"/>
            <w:hideMark/>
          </w:tcPr>
          <w:p w:rsidR="00E543C0" w:rsidRPr="00252D09" w:rsidRDefault="00E543C0" w:rsidP="00775A20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5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c.3207C&gt;A</w:t>
            </w:r>
          </w:p>
        </w:tc>
        <w:tc>
          <w:tcPr>
            <w:tcW w:w="2055" w:type="dxa"/>
            <w:hideMark/>
          </w:tcPr>
          <w:p w:rsidR="00E543C0" w:rsidRPr="00252D09" w:rsidRDefault="00E543C0" w:rsidP="00775A20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5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p.H1069Q</w:t>
            </w:r>
          </w:p>
        </w:tc>
      </w:tr>
      <w:tr w:rsidR="00E543C0" w:rsidRPr="00252D09" w:rsidTr="00E543C0">
        <w:tc>
          <w:tcPr>
            <w:tcW w:w="1560" w:type="dxa"/>
            <w:shd w:val="pct10" w:color="auto" w:fill="auto"/>
            <w:hideMark/>
          </w:tcPr>
          <w:p w:rsidR="00E543C0" w:rsidRPr="00252D09" w:rsidRDefault="00E543C0" w:rsidP="00775A20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5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2160" w:type="dxa"/>
            <w:hideMark/>
          </w:tcPr>
          <w:p w:rsidR="00E543C0" w:rsidRPr="00252D09" w:rsidRDefault="00E543C0" w:rsidP="00775A20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5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c.3402delC</w:t>
            </w:r>
          </w:p>
        </w:tc>
        <w:tc>
          <w:tcPr>
            <w:tcW w:w="2055" w:type="dxa"/>
            <w:hideMark/>
          </w:tcPr>
          <w:p w:rsidR="00E543C0" w:rsidRPr="00252D09" w:rsidRDefault="00E543C0" w:rsidP="00775A20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5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p.A1135fs</w:t>
            </w:r>
          </w:p>
        </w:tc>
      </w:tr>
      <w:tr w:rsidR="00E543C0" w:rsidRPr="00252D09" w:rsidTr="00E543C0">
        <w:tc>
          <w:tcPr>
            <w:tcW w:w="1560" w:type="dxa"/>
            <w:shd w:val="pct10" w:color="auto" w:fill="auto"/>
            <w:hideMark/>
          </w:tcPr>
          <w:p w:rsidR="00E543C0" w:rsidRPr="00252D09" w:rsidRDefault="00E543C0" w:rsidP="00775A20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5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2160" w:type="dxa"/>
            <w:hideMark/>
          </w:tcPr>
          <w:p w:rsidR="00E543C0" w:rsidRPr="00252D09" w:rsidRDefault="00E543C0" w:rsidP="00775A20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5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c.4051C&gt;T</w:t>
            </w:r>
          </w:p>
        </w:tc>
        <w:tc>
          <w:tcPr>
            <w:tcW w:w="2055" w:type="dxa"/>
            <w:hideMark/>
          </w:tcPr>
          <w:p w:rsidR="00E543C0" w:rsidRPr="00252D09" w:rsidRDefault="00E543C0" w:rsidP="00775A20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52D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p.Q1351X</w:t>
            </w:r>
          </w:p>
        </w:tc>
      </w:tr>
    </w:tbl>
    <w:p w:rsidR="00E543C0" w:rsidRDefault="00E543C0" w:rsidP="00775A20">
      <w:pPr>
        <w:jc w:val="both"/>
      </w:pPr>
    </w:p>
    <w:p w:rsidR="00E543C0" w:rsidRPr="00E543C0" w:rsidRDefault="00E543C0" w:rsidP="00775A20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808080"/>
          <w:sz w:val="24"/>
          <w:szCs w:val="24"/>
          <w:lang w:eastAsia="pl-PL"/>
        </w:rPr>
      </w:pPr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populacji polskiej najczęściej występującą mutacją w genie </w:t>
      </w:r>
      <w:r w:rsidRPr="00E543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ATP7B</w:t>
      </w:r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 jest c.3207C&gt;A (p.H1069Q) zlokalizowana w </w:t>
      </w:r>
      <w:proofErr w:type="spellStart"/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eksonie</w:t>
      </w:r>
      <w:proofErr w:type="spellEnd"/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14 genu </w:t>
      </w:r>
      <w:r w:rsidRPr="00E543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ATP7B</w:t>
      </w:r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  <w:r w:rsidRPr="00E543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. </w:t>
      </w:r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Mutację tę z wysoką częstością obserwowano także w innych krajach Europy (Niemcy, Rosja, Austria, Węgry, Grecja, Szwecja, Dania, Anglia). W badaniu, które przeprowadziliśmy w 2005 roku, spośród 143 przeanalizowanych chorych, 73 (51%) było homozygotami pod względem tej mutacji, a 57 (40%) miało tę mutację w jednym </w:t>
      </w:r>
      <w:proofErr w:type="spellStart"/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allelu</w:t>
      </w:r>
      <w:proofErr w:type="spellEnd"/>
      <w:r w:rsidRPr="00E543C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genu </w:t>
      </w:r>
      <w:r w:rsidRPr="00E543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>ATP7B</w:t>
      </w:r>
      <w:r w:rsidRPr="00E543C0">
        <w:rPr>
          <w:rFonts w:ascii="Times New Roman" w:eastAsia="Times New Roman" w:hAnsi="Times New Roman" w:cs="Times New Roman"/>
          <w:color w:val="808080"/>
          <w:sz w:val="24"/>
          <w:szCs w:val="24"/>
          <w:lang w:eastAsia="pl-PL"/>
        </w:rPr>
        <w:t>.</w:t>
      </w:r>
    </w:p>
    <w:p w:rsidR="00E543C0" w:rsidRPr="00252D09" w:rsidRDefault="00E543C0" w:rsidP="00775A2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2D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Wykonanie badań pozwala na potwierdzenie rozpoznania choroby Wilsona na poziomie genetycznym u około 80% chorych z populacji polskiej (na podstawie wyników badań opublikowanych w </w:t>
      </w:r>
      <w:proofErr w:type="spellStart"/>
      <w:r w:rsidRPr="00252D0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Clin</w:t>
      </w:r>
      <w:proofErr w:type="spellEnd"/>
      <w:r w:rsidRPr="00252D0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Genet</w:t>
      </w:r>
      <w:r w:rsidRPr="00252D09">
        <w:rPr>
          <w:rFonts w:ascii="Times New Roman" w:eastAsia="Times New Roman" w:hAnsi="Times New Roman" w:cs="Times New Roman"/>
          <w:sz w:val="24"/>
          <w:szCs w:val="24"/>
          <w:lang w:eastAsia="pl-PL"/>
        </w:rPr>
        <w:t>. 2005;68:524-32).</w:t>
      </w:r>
    </w:p>
    <w:p w:rsidR="00C04131" w:rsidRDefault="00C04131" w:rsidP="008A23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A2348" w:rsidRPr="00592286" w:rsidRDefault="008A2348" w:rsidP="008A23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Materiał niezbędny do wykonania badania:</w:t>
      </w:r>
    </w:p>
    <w:p w:rsidR="008A2348" w:rsidRPr="00C04131" w:rsidRDefault="008A2348" w:rsidP="00C04131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2348">
        <w:rPr>
          <w:rFonts w:ascii="Times New Roman" w:eastAsia="Times New Roman" w:hAnsi="Times New Roman" w:cs="Times New Roman"/>
          <w:sz w:val="24"/>
          <w:szCs w:val="24"/>
          <w:lang w:eastAsia="pl-PL"/>
        </w:rPr>
        <w:t>krew obwodowa pobrana „na EDTA”: 2 probówki, po ok. 3-5 ml krwi w każdej</w:t>
      </w:r>
    </w:p>
    <w:p w:rsidR="00E543C0" w:rsidRPr="00252D09" w:rsidRDefault="00E543C0" w:rsidP="00775A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2D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Temperatura/ czas przechowywania materiału przed wysyłką:</w:t>
      </w:r>
    </w:p>
    <w:p w:rsidR="008A2348" w:rsidRDefault="008A2348" w:rsidP="00775A20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temperatura pokojowa: do 5</w:t>
      </w:r>
      <w:r w:rsidR="00E543C0" w:rsidRPr="008A234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godzin</w:t>
      </w:r>
    </w:p>
    <w:p w:rsidR="008A2348" w:rsidRDefault="00E543C0" w:rsidP="00775A20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2348">
        <w:rPr>
          <w:rFonts w:ascii="Times New Roman" w:eastAsia="Times New Roman" w:hAnsi="Times New Roman" w:cs="Times New Roman"/>
          <w:sz w:val="24"/>
          <w:szCs w:val="24"/>
          <w:lang w:eastAsia="pl-PL"/>
        </w:rPr>
        <w:t>2-8</w:t>
      </w:r>
      <w:r w:rsidRPr="008A234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o</w:t>
      </w:r>
      <w:r w:rsidR="008A2348">
        <w:rPr>
          <w:rFonts w:ascii="Times New Roman" w:eastAsia="Times New Roman" w:hAnsi="Times New Roman" w:cs="Times New Roman"/>
          <w:sz w:val="24"/>
          <w:szCs w:val="24"/>
          <w:lang w:eastAsia="pl-PL"/>
        </w:rPr>
        <w:t>C / do 7 dni</w:t>
      </w:r>
    </w:p>
    <w:p w:rsidR="008A2348" w:rsidRDefault="00E543C0" w:rsidP="00775A20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2348">
        <w:rPr>
          <w:rFonts w:ascii="Times New Roman" w:eastAsia="Times New Roman" w:hAnsi="Times New Roman" w:cs="Times New Roman"/>
          <w:sz w:val="24"/>
          <w:szCs w:val="24"/>
          <w:lang w:eastAsia="pl-PL"/>
        </w:rPr>
        <w:t>-20</w:t>
      </w:r>
      <w:r w:rsidRPr="008A234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o</w:t>
      </w:r>
      <w:r w:rsidR="008A2348">
        <w:rPr>
          <w:rFonts w:ascii="Times New Roman" w:eastAsia="Times New Roman" w:hAnsi="Times New Roman" w:cs="Times New Roman"/>
          <w:sz w:val="24"/>
          <w:szCs w:val="24"/>
          <w:lang w:eastAsia="pl-PL"/>
        </w:rPr>
        <w:t>C / do 2</w:t>
      </w:r>
      <w:r w:rsidRPr="008A234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miesięcy</w:t>
      </w:r>
    </w:p>
    <w:p w:rsidR="00E543C0" w:rsidRDefault="008A2348" w:rsidP="00775A20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-8</w:t>
      </w:r>
      <w:r w:rsidR="00E543C0" w:rsidRPr="008A2348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E543C0" w:rsidRPr="008A234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o</w:t>
      </w:r>
      <w:r w:rsidR="00C379FE">
        <w:rPr>
          <w:rFonts w:ascii="Times New Roman" w:eastAsia="Times New Roman" w:hAnsi="Times New Roman" w:cs="Times New Roman"/>
          <w:sz w:val="24"/>
          <w:szCs w:val="24"/>
          <w:lang w:eastAsia="pl-PL"/>
        </w:rPr>
        <w:t>C/ dłużej niż 2 miesią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ce</w:t>
      </w:r>
    </w:p>
    <w:p w:rsidR="00061D2B" w:rsidRDefault="00061D2B" w:rsidP="00061D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Temperatura wysyłki:</w:t>
      </w:r>
    </w:p>
    <w:p w:rsidR="00061D2B" w:rsidRDefault="00061D2B" w:rsidP="00061D2B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 5 godzin</w:t>
      </w:r>
      <w:r w:rsidRPr="00984D44">
        <w:rPr>
          <w:rFonts w:ascii="Times New Roman" w:eastAsia="Times New Roman" w:hAnsi="Times New Roman" w:cs="Times New Roman"/>
          <w:sz w:val="24"/>
          <w:szCs w:val="24"/>
        </w:rPr>
        <w:t xml:space="preserve"> od pobrania: temp. pokojowa</w:t>
      </w:r>
    </w:p>
    <w:p w:rsidR="00061D2B" w:rsidRPr="00984D44" w:rsidRDefault="00061D2B" w:rsidP="00061D2B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materiał schłodzony: 2-8</w:t>
      </w:r>
      <w:r w:rsidRPr="00984D4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o</w:t>
      </w:r>
      <w:r w:rsidRPr="00984D44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984D44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061D2B" w:rsidRDefault="00061D2B" w:rsidP="00061D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2286">
        <w:rPr>
          <w:rFonts w:ascii="Times New Roman" w:eastAsia="Times New Roman" w:hAnsi="Times New Roman" w:cs="Times New Roman"/>
          <w:b/>
          <w:sz w:val="24"/>
          <w:szCs w:val="24"/>
        </w:rPr>
        <w:t>Etykieta probówki:</w:t>
      </w:r>
    </w:p>
    <w:p w:rsidR="00061D2B" w:rsidRDefault="00061D2B" w:rsidP="00061D2B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4D44">
        <w:rPr>
          <w:rFonts w:ascii="Times New Roman" w:eastAsia="Times New Roman" w:hAnsi="Times New Roman" w:cs="Times New Roman"/>
          <w:sz w:val="24"/>
          <w:szCs w:val="24"/>
        </w:rPr>
        <w:t>Nazwisko i imię pacjenta</w:t>
      </w:r>
    </w:p>
    <w:p w:rsidR="00061D2B" w:rsidRDefault="00061D2B" w:rsidP="00061D2B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PESEL</w:t>
      </w:r>
    </w:p>
    <w:p w:rsidR="00061D2B" w:rsidRPr="00984D44" w:rsidRDefault="00061D2B" w:rsidP="00061D2B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 pobrania materiału</w:t>
      </w:r>
    </w:p>
    <w:p w:rsidR="00061D2B" w:rsidRPr="00061D2B" w:rsidRDefault="00061D2B" w:rsidP="00061D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543C0" w:rsidRPr="00252D09" w:rsidRDefault="00E543C0" w:rsidP="00775A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2D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Czas oczekiwania na wynik badania</w:t>
      </w:r>
      <w:r w:rsidRPr="00252D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zależny od przebiegu badania:</w:t>
      </w:r>
    </w:p>
    <w:p w:rsidR="00BE5EC2" w:rsidRDefault="00E543C0" w:rsidP="00BE5EC2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5E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wykrycia mutacji c.3207C&gt;A (p.H1069Q) </w:t>
      </w:r>
      <w:r w:rsidRPr="00BE5EC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[mutacja najczęściej występująca w polskiej populacji, obecna na ok. 72% </w:t>
      </w:r>
      <w:proofErr w:type="spellStart"/>
      <w:r w:rsidRPr="00BE5EC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allel</w:t>
      </w:r>
      <w:proofErr w:type="spellEnd"/>
      <w:r w:rsidRPr="00BE5EC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;, około 50% chorych z chorobą Wilsona w Polsce posiada tę mutację w obu allelach genu ATP7B]</w:t>
      </w:r>
      <w:r w:rsidRPr="00BE5E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obu allelach genu </w:t>
      </w:r>
      <w:r w:rsidRPr="00BE5EC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ATP7B</w:t>
      </w:r>
      <w:r w:rsidRPr="00BE5EC2">
        <w:rPr>
          <w:rFonts w:ascii="Times New Roman" w:eastAsia="Times New Roman" w:hAnsi="Times New Roman" w:cs="Times New Roman"/>
          <w:sz w:val="24"/>
          <w:szCs w:val="24"/>
          <w:lang w:eastAsia="pl-PL"/>
        </w:rPr>
        <w:t>: około tygodnia</w:t>
      </w:r>
    </w:p>
    <w:p w:rsidR="00BE5EC2" w:rsidRPr="00BE5EC2" w:rsidRDefault="00BE5EC2" w:rsidP="00BE5EC2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543C0" w:rsidRPr="00BE5EC2" w:rsidRDefault="00E543C0" w:rsidP="004822E0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5E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konieczności wykonania badania w kierunku obecności pozostałych mutacji w genie </w:t>
      </w:r>
      <w:r w:rsidRPr="00BE5EC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ATP7B, </w:t>
      </w:r>
      <w:r w:rsidRPr="00BE5EC2">
        <w:rPr>
          <w:rFonts w:ascii="Times New Roman" w:eastAsia="Times New Roman" w:hAnsi="Times New Roman" w:cs="Times New Roman"/>
          <w:sz w:val="24"/>
          <w:szCs w:val="24"/>
          <w:lang w:eastAsia="pl-PL"/>
        </w:rPr>
        <w:t>najczęściej występujących w polskiej populacji: około 3 tygodni</w:t>
      </w:r>
    </w:p>
    <w:p w:rsidR="002772CA" w:rsidRPr="00252D09" w:rsidRDefault="002772CA" w:rsidP="00775A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2D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Koszt badań: </w:t>
      </w:r>
      <w:r w:rsidRPr="00252D09">
        <w:rPr>
          <w:rFonts w:ascii="Times New Roman" w:eastAsia="Times New Roman" w:hAnsi="Times New Roman" w:cs="Times New Roman"/>
          <w:sz w:val="24"/>
          <w:szCs w:val="24"/>
          <w:lang w:eastAsia="pl-PL"/>
        </w:rPr>
        <w:t>zależny od przebiegu badania:</w:t>
      </w:r>
    </w:p>
    <w:p w:rsidR="00BE5EC2" w:rsidRDefault="002772CA" w:rsidP="00775A20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5E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badania jednego </w:t>
      </w:r>
      <w:proofErr w:type="spellStart"/>
      <w:r w:rsidRPr="00BE5EC2">
        <w:rPr>
          <w:rFonts w:ascii="Times New Roman" w:eastAsia="Times New Roman" w:hAnsi="Times New Roman" w:cs="Times New Roman"/>
          <w:sz w:val="24"/>
          <w:szCs w:val="24"/>
          <w:lang w:eastAsia="pl-PL"/>
        </w:rPr>
        <w:t>exonu</w:t>
      </w:r>
      <w:proofErr w:type="spellEnd"/>
      <w:r w:rsidRPr="00BE5E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genu </w:t>
      </w:r>
      <w:r w:rsidRPr="00BE5EC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ATP7B</w:t>
      </w:r>
      <w:r w:rsidRPr="00BE5E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(najczęściej 14) – 170,00zł</w:t>
      </w:r>
    </w:p>
    <w:p w:rsidR="002772CA" w:rsidRPr="00BE5EC2" w:rsidRDefault="002772CA" w:rsidP="00775A20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5E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konieczności wykonania badania 3 </w:t>
      </w:r>
      <w:proofErr w:type="spellStart"/>
      <w:r w:rsidRPr="00BE5EC2">
        <w:rPr>
          <w:rFonts w:ascii="Times New Roman" w:eastAsia="Times New Roman" w:hAnsi="Times New Roman" w:cs="Times New Roman"/>
          <w:sz w:val="24"/>
          <w:szCs w:val="24"/>
          <w:lang w:eastAsia="pl-PL"/>
        </w:rPr>
        <w:t>exonów</w:t>
      </w:r>
      <w:proofErr w:type="spellEnd"/>
      <w:r w:rsidR="00C04131" w:rsidRPr="00BE5EC2">
        <w:rPr>
          <w:rFonts w:ascii="Times New Roman" w:eastAsia="Times New Roman" w:hAnsi="Times New Roman" w:cs="Times New Roman"/>
          <w:sz w:val="24"/>
          <w:szCs w:val="24"/>
          <w:lang w:eastAsia="pl-PL"/>
        </w:rPr>
        <w:t>, w</w:t>
      </w:r>
      <w:r w:rsidRPr="00BE5E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których najczęściej występują </w:t>
      </w:r>
      <w:r w:rsidR="004822E0" w:rsidRPr="00BE5EC2">
        <w:rPr>
          <w:rFonts w:ascii="Times New Roman" w:eastAsia="Times New Roman" w:hAnsi="Times New Roman" w:cs="Times New Roman"/>
          <w:sz w:val="24"/>
          <w:szCs w:val="24"/>
          <w:lang w:eastAsia="pl-PL"/>
        </w:rPr>
        <w:t>mutacje</w:t>
      </w:r>
      <w:r w:rsidRPr="00BE5E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genie </w:t>
      </w:r>
      <w:r w:rsidRPr="00BE5EC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ATP7B</w:t>
      </w:r>
      <w:r w:rsidRPr="00BE5E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- 350,00 zł</w:t>
      </w:r>
    </w:p>
    <w:p w:rsidR="003A39EF" w:rsidRPr="004822E0" w:rsidRDefault="003A39EF" w:rsidP="00775A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proofErr w:type="spellStart"/>
      <w:r w:rsidRPr="004822E0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Metoda</w:t>
      </w:r>
      <w:proofErr w:type="spellEnd"/>
      <w:r w:rsidRPr="004822E0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 xml:space="preserve"> </w:t>
      </w:r>
      <w:proofErr w:type="spellStart"/>
      <w:r w:rsidRPr="004822E0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badania</w:t>
      </w:r>
      <w:proofErr w:type="spellEnd"/>
      <w:r w:rsidRPr="004822E0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:</w:t>
      </w:r>
      <w:r w:rsidRPr="004822E0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r w:rsidR="004822E0" w:rsidRPr="004822E0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PCR-RFLP (</w:t>
      </w:r>
      <w:r w:rsidR="004822E0" w:rsidRPr="00835AFD">
        <w:rPr>
          <w:rFonts w:ascii="Times New Roman" w:eastAsia="Times New Roman" w:hAnsi="Times New Roman" w:cs="Times New Roman"/>
          <w:i/>
          <w:sz w:val="24"/>
          <w:szCs w:val="24"/>
          <w:lang w:val="en-US" w:eastAsia="pl-PL"/>
        </w:rPr>
        <w:t>polymerase chain reaction, restriction fragments length polymorphism</w:t>
      </w:r>
      <w:r w:rsidR="004822E0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)</w:t>
      </w:r>
    </w:p>
    <w:p w:rsidR="003A39EF" w:rsidRDefault="003A39EF" w:rsidP="00775A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52D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Interpretacja wyników badania: </w:t>
      </w:r>
    </w:p>
    <w:p w:rsidR="003A39EF" w:rsidRPr="00252D09" w:rsidRDefault="004822E0" w:rsidP="00775A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3A39EF" w:rsidRPr="00252D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podstawie oceny obrazu uzyskanego na żelu </w:t>
      </w:r>
      <w:proofErr w:type="spellStart"/>
      <w:r w:rsidR="003A39EF" w:rsidRPr="00252D09">
        <w:rPr>
          <w:rFonts w:ascii="Times New Roman" w:eastAsia="Times New Roman" w:hAnsi="Times New Roman" w:cs="Times New Roman"/>
          <w:sz w:val="24"/>
          <w:szCs w:val="24"/>
          <w:lang w:eastAsia="pl-PL"/>
        </w:rPr>
        <w:t>agarozowym</w:t>
      </w:r>
      <w:proofErr w:type="spellEnd"/>
      <w:r w:rsidR="003A39EF" w:rsidRPr="00252D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barwionym bromkiem </w:t>
      </w:r>
      <w:proofErr w:type="spellStart"/>
      <w:r w:rsidR="003A39EF" w:rsidRPr="00252D09">
        <w:rPr>
          <w:rFonts w:ascii="Times New Roman" w:eastAsia="Times New Roman" w:hAnsi="Times New Roman" w:cs="Times New Roman"/>
          <w:sz w:val="24"/>
          <w:szCs w:val="24"/>
          <w:lang w:eastAsia="pl-PL"/>
        </w:rPr>
        <w:t>etydyny</w:t>
      </w:r>
      <w:proofErr w:type="spellEnd"/>
      <w:r w:rsidR="003A39EF" w:rsidRPr="00252D09">
        <w:rPr>
          <w:rFonts w:ascii="Times New Roman" w:eastAsia="Times New Roman" w:hAnsi="Times New Roman" w:cs="Times New Roman"/>
          <w:sz w:val="24"/>
          <w:szCs w:val="24"/>
          <w:lang w:eastAsia="pl-PL"/>
        </w:rPr>
        <w:t>, w którym przeprowadza się rozdział elektroforetyczny analizowanych fragmentów DNA.</w:t>
      </w:r>
    </w:p>
    <w:p w:rsidR="00775A20" w:rsidRDefault="003A39EF" w:rsidP="00775A20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2D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System kontroli jakości:</w:t>
      </w:r>
      <w:r w:rsidRPr="00252D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Stosowana jest wewnątrzlaboratoryjna kontrola jakości, która polega na równoległym wykonywaniu rozdziału elektroforetycznego fragmentów DNA osób badanych oraz fragmentów DNA wzorcowych, odpowiednich do rodzaju analizowanej mutacji (wzorce ustalono w oparciu o wyniki badań DNA metodą sekwencjonowania). </w:t>
      </w:r>
    </w:p>
    <w:p w:rsidR="00775A20" w:rsidRPr="004822E0" w:rsidRDefault="00775A20" w:rsidP="004822E0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775A2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Ponieważ </w:t>
      </w:r>
      <w:proofErr w:type="spellStart"/>
      <w:r w:rsidRPr="00775A2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ChW</w:t>
      </w:r>
      <w:proofErr w:type="spellEnd"/>
      <w:r w:rsidRPr="00775A2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jest chorobą uwarunkowaną genetycznie, jej rozpoznanie u jednego </w:t>
      </w:r>
      <w:r w:rsidR="00FC6B63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br/>
      </w:r>
      <w:bookmarkStart w:id="0" w:name="_GoBack"/>
      <w:bookmarkEnd w:id="0"/>
      <w:r w:rsidRPr="00775A2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z członków rodziny jest wskazaniem do przeprowadzenia przesiewowych badań rodzinnych, ze szczególnym uwzględnieniem krewnych chorego pierwszego stopnia. Badania rodzinne są ułatwione w sytuacji, gdy u osoby chorej określono mutacje odpowiedzialne za wystąpienie choroby – wtedy badanie genetyczne jest bardzo uproszczone (jest ukierunkowane na konkretne mutacje).</w:t>
      </w:r>
    </w:p>
    <w:sectPr w:rsidR="00775A20" w:rsidRPr="004822E0" w:rsidSect="00E543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BD14565_"/>
      </v:shape>
    </w:pict>
  </w:numPicBullet>
  <w:abstractNum w:abstractNumId="0">
    <w:nsid w:val="255E4E6D"/>
    <w:multiLevelType w:val="hybridMultilevel"/>
    <w:tmpl w:val="623C2AE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E606EB"/>
    <w:multiLevelType w:val="hybridMultilevel"/>
    <w:tmpl w:val="05DADCE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243DAB"/>
    <w:multiLevelType w:val="hybridMultilevel"/>
    <w:tmpl w:val="360820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B1405E"/>
    <w:multiLevelType w:val="hybridMultilevel"/>
    <w:tmpl w:val="C5AC0D3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DC3AAC"/>
    <w:multiLevelType w:val="hybridMultilevel"/>
    <w:tmpl w:val="4134DEB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A27F52"/>
    <w:multiLevelType w:val="hybridMultilevel"/>
    <w:tmpl w:val="3E62C32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6945A9"/>
    <w:multiLevelType w:val="hybridMultilevel"/>
    <w:tmpl w:val="93B645F8"/>
    <w:lvl w:ilvl="0" w:tplc="2822EAD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52D09"/>
    <w:rsid w:val="00061D2B"/>
    <w:rsid w:val="00223383"/>
    <w:rsid w:val="00252D09"/>
    <w:rsid w:val="002772CA"/>
    <w:rsid w:val="003815A0"/>
    <w:rsid w:val="003A39EF"/>
    <w:rsid w:val="004822E0"/>
    <w:rsid w:val="006076A2"/>
    <w:rsid w:val="00775A20"/>
    <w:rsid w:val="00783486"/>
    <w:rsid w:val="00835AFD"/>
    <w:rsid w:val="008A2348"/>
    <w:rsid w:val="00BE5EC2"/>
    <w:rsid w:val="00C04131"/>
    <w:rsid w:val="00C1593C"/>
    <w:rsid w:val="00C379FE"/>
    <w:rsid w:val="00CC440E"/>
    <w:rsid w:val="00DA0900"/>
    <w:rsid w:val="00E543C0"/>
    <w:rsid w:val="00F6153A"/>
    <w:rsid w:val="00FC6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A09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3">
    <w:name w:val="style3"/>
    <w:basedOn w:val="Normalny"/>
    <w:rsid w:val="00252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rsid w:val="00252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5">
    <w:name w:val="style5"/>
    <w:basedOn w:val="Normalny"/>
    <w:rsid w:val="00252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">
    <w:name w:val="style1"/>
    <w:basedOn w:val="Normalny"/>
    <w:rsid w:val="00252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yle51">
    <w:name w:val="style51"/>
    <w:basedOn w:val="Domylnaczcionkaakapitu"/>
    <w:rsid w:val="00252D09"/>
  </w:style>
  <w:style w:type="character" w:customStyle="1" w:styleId="style41">
    <w:name w:val="style41"/>
    <w:basedOn w:val="Domylnaczcionkaakapitu"/>
    <w:rsid w:val="00252D09"/>
  </w:style>
  <w:style w:type="character" w:customStyle="1" w:styleId="style6">
    <w:name w:val="style6"/>
    <w:basedOn w:val="Domylnaczcionkaakapitu"/>
    <w:rsid w:val="00252D09"/>
  </w:style>
  <w:style w:type="paragraph" w:styleId="Akapitzlist">
    <w:name w:val="List Paragraph"/>
    <w:basedOn w:val="Normalny"/>
    <w:uiPriority w:val="34"/>
    <w:qFormat/>
    <w:rsid w:val="00252D09"/>
    <w:pPr>
      <w:ind w:left="720"/>
      <w:contextualSpacing/>
    </w:pPr>
  </w:style>
  <w:style w:type="table" w:styleId="redniecieniowanie2">
    <w:name w:val="Medium Shading 2"/>
    <w:basedOn w:val="Standardowy"/>
    <w:uiPriority w:val="64"/>
    <w:rsid w:val="00E543C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Siatka">
    <w:name w:val="Table Grid"/>
    <w:basedOn w:val="Standardowy"/>
    <w:uiPriority w:val="59"/>
    <w:rsid w:val="00E54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CC440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2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27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797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Anna Palejko</cp:lastModifiedBy>
  <cp:revision>18</cp:revision>
  <dcterms:created xsi:type="dcterms:W3CDTF">2014-04-01T09:58:00Z</dcterms:created>
  <dcterms:modified xsi:type="dcterms:W3CDTF">2026-08-13T11:10:00Z</dcterms:modified>
</cp:coreProperties>
</file>