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BDB" w:rsidRDefault="00D57BDB">
      <w:pPr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bookmarkStart w:id="0" w:name="_GoBack"/>
      <w:bookmarkEnd w:id="0"/>
    </w:p>
    <w:p w:rsidR="00E67BD0" w:rsidRDefault="00440DDB">
      <w:proofErr w:type="spellStart"/>
      <w:r>
        <w:t>Nieparanowotoworowe</w:t>
      </w:r>
      <w:proofErr w:type="spellEnd"/>
      <w:r>
        <w:t xml:space="preserve"> a</w:t>
      </w:r>
      <w:r w:rsidR="004E7925">
        <w:t>utoimmunolog</w:t>
      </w:r>
      <w:r w:rsidR="00E67BD0">
        <w:t>i</w:t>
      </w:r>
      <w:r w:rsidR="004E7925">
        <w:t xml:space="preserve">czne zapalenie mózgu jest chorobą dotykającą głównie młodych ludzi (30%&lt;18 roku życia). Częściej </w:t>
      </w:r>
      <w:r w:rsidR="00E67BD0">
        <w:t>chorują</w:t>
      </w:r>
      <w:r w:rsidR="004E7925">
        <w:t xml:space="preserve"> kobiety.</w:t>
      </w:r>
      <w:r>
        <w:t xml:space="preserve"> Podstawą diagnozowania w kierunku tej choroby są podstawowe objawy: </w:t>
      </w:r>
    </w:p>
    <w:p w:rsidR="000015A7" w:rsidRDefault="000015A7" w:rsidP="000015A7">
      <w:pPr>
        <w:pStyle w:val="Akapitzlist"/>
        <w:numPr>
          <w:ilvl w:val="0"/>
          <w:numId w:val="3"/>
        </w:numPr>
      </w:pPr>
      <w:r>
        <w:t>Objawy psychiczne</w:t>
      </w:r>
    </w:p>
    <w:p w:rsidR="000015A7" w:rsidRDefault="000015A7" w:rsidP="000015A7">
      <w:pPr>
        <w:pStyle w:val="Akapitzlist"/>
        <w:numPr>
          <w:ilvl w:val="0"/>
          <w:numId w:val="4"/>
        </w:numPr>
      </w:pPr>
      <w:r>
        <w:t>Urojenia, halucynacje (wzrokowe i słuchowe)</w:t>
      </w:r>
    </w:p>
    <w:p w:rsidR="000015A7" w:rsidRDefault="000015A7" w:rsidP="000015A7">
      <w:pPr>
        <w:pStyle w:val="Akapitzlist"/>
        <w:numPr>
          <w:ilvl w:val="0"/>
          <w:numId w:val="4"/>
        </w:numPr>
      </w:pPr>
      <w:r>
        <w:t>Stany lękowe</w:t>
      </w:r>
    </w:p>
    <w:p w:rsidR="000015A7" w:rsidRDefault="000015A7" w:rsidP="000015A7">
      <w:pPr>
        <w:pStyle w:val="Akapitzlist"/>
        <w:numPr>
          <w:ilvl w:val="0"/>
          <w:numId w:val="4"/>
        </w:numPr>
      </w:pPr>
      <w:r>
        <w:t>Zmiany osobowości (gwałtowne wahania nastroju, brak zahamowań w kontaktach społecznych, nietypowe zachowanie), pobudzenie, bezsenność</w:t>
      </w:r>
    </w:p>
    <w:p w:rsidR="000015A7" w:rsidRDefault="000015A7" w:rsidP="000015A7">
      <w:pPr>
        <w:pStyle w:val="Akapitzlist"/>
        <w:numPr>
          <w:ilvl w:val="0"/>
          <w:numId w:val="4"/>
        </w:numPr>
      </w:pPr>
      <w:r>
        <w:t>Zaburzenia mowy (dotyczące treści, tempa, rytmu, melodii, siły i modulacji)</w:t>
      </w:r>
    </w:p>
    <w:p w:rsidR="000015A7" w:rsidRDefault="000015A7" w:rsidP="000015A7">
      <w:pPr>
        <w:pStyle w:val="Akapitzlist"/>
        <w:numPr>
          <w:ilvl w:val="0"/>
          <w:numId w:val="4"/>
        </w:numPr>
      </w:pPr>
      <w:r>
        <w:t>Zaburzenia odżywiania</w:t>
      </w:r>
    </w:p>
    <w:p w:rsidR="000015A7" w:rsidRDefault="000015A7" w:rsidP="000015A7">
      <w:pPr>
        <w:pStyle w:val="Akapitzlist"/>
        <w:numPr>
          <w:ilvl w:val="0"/>
          <w:numId w:val="4"/>
        </w:numPr>
      </w:pPr>
      <w:r>
        <w:t>Deficyty poznawcze i pamięci, szybko postępujące otępienie</w:t>
      </w:r>
    </w:p>
    <w:p w:rsidR="000015A7" w:rsidRDefault="000015A7" w:rsidP="000015A7">
      <w:pPr>
        <w:pStyle w:val="Akapitzlist"/>
        <w:numPr>
          <w:ilvl w:val="0"/>
          <w:numId w:val="3"/>
        </w:numPr>
      </w:pPr>
      <w:r>
        <w:t>Objawy neurologiczne</w:t>
      </w:r>
    </w:p>
    <w:p w:rsidR="000015A7" w:rsidRDefault="000015A7" w:rsidP="000015A7">
      <w:pPr>
        <w:pStyle w:val="Akapitzlist"/>
        <w:numPr>
          <w:ilvl w:val="0"/>
          <w:numId w:val="5"/>
        </w:numPr>
      </w:pPr>
      <w:r>
        <w:t>Osłabienie siły mięśniowej lub czucia w kończynach</w:t>
      </w:r>
    </w:p>
    <w:p w:rsidR="000015A7" w:rsidRDefault="000015A7" w:rsidP="000015A7">
      <w:pPr>
        <w:pStyle w:val="Akapitzlist"/>
        <w:numPr>
          <w:ilvl w:val="0"/>
          <w:numId w:val="5"/>
        </w:numPr>
      </w:pPr>
      <w:r>
        <w:t>Zaburzenia równowagi i zborności</w:t>
      </w:r>
    </w:p>
    <w:p w:rsidR="000015A7" w:rsidRDefault="000015A7" w:rsidP="000015A7">
      <w:pPr>
        <w:pStyle w:val="Akapitzlist"/>
        <w:numPr>
          <w:ilvl w:val="0"/>
          <w:numId w:val="5"/>
        </w:numPr>
      </w:pPr>
      <w:r>
        <w:t>Zaburzenia widzenia</w:t>
      </w:r>
    </w:p>
    <w:p w:rsidR="000015A7" w:rsidRDefault="000015A7" w:rsidP="000015A7">
      <w:pPr>
        <w:pStyle w:val="Akapitzlist"/>
        <w:numPr>
          <w:ilvl w:val="0"/>
          <w:numId w:val="5"/>
        </w:numPr>
      </w:pPr>
      <w:r>
        <w:t>Ruchy mimowolne (tiki,  grymasy ust, przymus aktywności ruchowej i nadpobudliwość)</w:t>
      </w:r>
    </w:p>
    <w:p w:rsidR="000015A7" w:rsidRDefault="000015A7" w:rsidP="000015A7">
      <w:pPr>
        <w:pStyle w:val="Akapitzlist"/>
        <w:numPr>
          <w:ilvl w:val="0"/>
          <w:numId w:val="5"/>
        </w:numPr>
      </w:pPr>
      <w:r>
        <w:t>Napady padaczkowe</w:t>
      </w:r>
    </w:p>
    <w:p w:rsidR="000015A7" w:rsidRDefault="000015A7" w:rsidP="000015A7">
      <w:pPr>
        <w:pStyle w:val="Akapitzlist"/>
        <w:numPr>
          <w:ilvl w:val="0"/>
          <w:numId w:val="5"/>
        </w:numPr>
      </w:pPr>
      <w:r>
        <w:t>Zaburzenia wegetatywne (wahania ciśnienia krwi, ciepłoty, rytmu serca)</w:t>
      </w:r>
    </w:p>
    <w:p w:rsidR="000015A7" w:rsidRDefault="000015A7" w:rsidP="000015A7">
      <w:pPr>
        <w:pStyle w:val="Akapitzlist"/>
        <w:numPr>
          <w:ilvl w:val="0"/>
          <w:numId w:val="5"/>
        </w:numPr>
      </w:pPr>
      <w:r>
        <w:t>Zaburzenia świadomości (od dezorientacji do śpiączki)</w:t>
      </w:r>
    </w:p>
    <w:p w:rsidR="00B37EB4" w:rsidRDefault="00440DDB">
      <w:r>
        <w:t>P</w:t>
      </w:r>
      <w:r w:rsidRPr="004E7925">
        <w:t>o 10 do 20 dni, u pacjentów pojawiają się zaburzenia ruchu.</w:t>
      </w:r>
    </w:p>
    <w:p w:rsidR="00B37EB4" w:rsidRDefault="00B37EB4">
      <w:r>
        <w:t xml:space="preserve">Diagnostyka zapalenia mózgu opiera się na porównaniu objawów klinicznych, wyników badan obrazowych , EEG, oraz badań płynu mózgowo-rdzeniowego i surowicy. </w:t>
      </w:r>
    </w:p>
    <w:p w:rsidR="00D57BDB" w:rsidRDefault="00D57BDB"/>
    <w:p w:rsidR="00D57BDB" w:rsidRDefault="00D57BDB"/>
    <w:p w:rsidR="00440DDB" w:rsidRDefault="00440DDB">
      <w:r>
        <w:lastRenderedPageBreak/>
        <w:t xml:space="preserve">U pacjentów z autoimmunologicznym zapaleniem mózgu występują autoprzeciwciała przeciw powierzchniowym antygenom neuronalnym: </w:t>
      </w:r>
    </w:p>
    <w:tbl>
      <w:tblPr>
        <w:tblStyle w:val="Tabela-Siatka"/>
        <w:tblW w:w="15129" w:type="dxa"/>
        <w:tblBorders>
          <w:top w:val="thinThickSmallGap" w:sz="24" w:space="0" w:color="4F6228" w:themeColor="accent3" w:themeShade="80"/>
          <w:left w:val="thinThickSmallGap" w:sz="24" w:space="0" w:color="4F6228" w:themeColor="accent3" w:themeShade="80"/>
          <w:bottom w:val="thinThickSmallGap" w:sz="24" w:space="0" w:color="4F6228" w:themeColor="accent3" w:themeShade="80"/>
          <w:right w:val="thinThickSmallGap" w:sz="24" w:space="0" w:color="4F6228" w:themeColor="accent3" w:themeShade="80"/>
        </w:tblBorders>
        <w:tblLayout w:type="fixed"/>
        <w:tblLook w:val="04A0" w:firstRow="1" w:lastRow="0" w:firstColumn="1" w:lastColumn="0" w:noHBand="0" w:noVBand="1"/>
      </w:tblPr>
      <w:tblGrid>
        <w:gridCol w:w="2979"/>
        <w:gridCol w:w="2799"/>
        <w:gridCol w:w="3544"/>
        <w:gridCol w:w="2394"/>
        <w:gridCol w:w="3413"/>
      </w:tblGrid>
      <w:tr w:rsidR="00163F66" w:rsidRPr="00BB7A96" w:rsidTr="00B37EB4">
        <w:trPr>
          <w:trHeight w:val="397"/>
        </w:trPr>
        <w:tc>
          <w:tcPr>
            <w:tcW w:w="2979" w:type="dxa"/>
            <w:shd w:val="clear" w:color="auto" w:fill="76923C" w:themeFill="accent3" w:themeFillShade="BF"/>
          </w:tcPr>
          <w:p w:rsidR="00FA0342" w:rsidRPr="00BB7A96" w:rsidRDefault="00FA0342" w:rsidP="00BB7A96">
            <w:pPr>
              <w:contextualSpacing/>
              <w:rPr>
                <w:b/>
                <w:sz w:val="20"/>
                <w:szCs w:val="20"/>
              </w:rPr>
            </w:pPr>
            <w:r w:rsidRPr="00BB7A96">
              <w:rPr>
                <w:b/>
                <w:sz w:val="20"/>
                <w:szCs w:val="20"/>
              </w:rPr>
              <w:t>PRZECIWCIAŁO</w:t>
            </w:r>
          </w:p>
        </w:tc>
        <w:tc>
          <w:tcPr>
            <w:tcW w:w="2799" w:type="dxa"/>
            <w:shd w:val="clear" w:color="auto" w:fill="76923C" w:themeFill="accent3" w:themeFillShade="BF"/>
          </w:tcPr>
          <w:p w:rsidR="00FA0342" w:rsidRPr="00BB7A96" w:rsidRDefault="00FA0342" w:rsidP="00BB7A96">
            <w:pPr>
              <w:contextualSpacing/>
              <w:rPr>
                <w:b/>
                <w:sz w:val="20"/>
                <w:szCs w:val="20"/>
              </w:rPr>
            </w:pPr>
            <w:r w:rsidRPr="00BB7A96">
              <w:rPr>
                <w:b/>
                <w:sz w:val="20"/>
                <w:szCs w:val="20"/>
              </w:rPr>
              <w:t>Jednostka chorobowa</w:t>
            </w:r>
          </w:p>
        </w:tc>
        <w:tc>
          <w:tcPr>
            <w:tcW w:w="3544" w:type="dxa"/>
            <w:shd w:val="clear" w:color="auto" w:fill="76923C" w:themeFill="accent3" w:themeFillShade="BF"/>
          </w:tcPr>
          <w:p w:rsidR="00FA0342" w:rsidRPr="00BB7A96" w:rsidRDefault="00FA0342" w:rsidP="00BB7A96">
            <w:pPr>
              <w:contextualSpacing/>
              <w:rPr>
                <w:b/>
                <w:sz w:val="20"/>
                <w:szCs w:val="20"/>
              </w:rPr>
            </w:pPr>
            <w:r w:rsidRPr="00BB7A96">
              <w:rPr>
                <w:b/>
                <w:sz w:val="20"/>
                <w:szCs w:val="20"/>
              </w:rPr>
              <w:t>Objawy</w:t>
            </w:r>
          </w:p>
        </w:tc>
        <w:tc>
          <w:tcPr>
            <w:tcW w:w="2394" w:type="dxa"/>
            <w:shd w:val="clear" w:color="auto" w:fill="76923C" w:themeFill="accent3" w:themeFillShade="BF"/>
          </w:tcPr>
          <w:p w:rsidR="00FA0342" w:rsidRPr="00BB7A96" w:rsidRDefault="00FA0342" w:rsidP="00BB7A96">
            <w:pPr>
              <w:contextualSpacing/>
              <w:rPr>
                <w:b/>
                <w:sz w:val="20"/>
                <w:szCs w:val="20"/>
              </w:rPr>
            </w:pPr>
            <w:r w:rsidRPr="00BB7A96">
              <w:rPr>
                <w:b/>
                <w:sz w:val="20"/>
                <w:szCs w:val="20"/>
              </w:rPr>
              <w:t xml:space="preserve">Zespół </w:t>
            </w:r>
            <w:proofErr w:type="spellStart"/>
            <w:r w:rsidRPr="00BB7A96">
              <w:rPr>
                <w:b/>
                <w:sz w:val="20"/>
                <w:szCs w:val="20"/>
              </w:rPr>
              <w:t>paraneoplastyczny</w:t>
            </w:r>
            <w:proofErr w:type="spellEnd"/>
          </w:p>
        </w:tc>
        <w:tc>
          <w:tcPr>
            <w:tcW w:w="3413" w:type="dxa"/>
            <w:shd w:val="clear" w:color="auto" w:fill="76923C" w:themeFill="accent3" w:themeFillShade="BF"/>
          </w:tcPr>
          <w:p w:rsidR="00FA0342" w:rsidRPr="00BB7A96" w:rsidRDefault="00BB7A96" w:rsidP="00BB7A96">
            <w:pPr>
              <w:contextualSpacing/>
              <w:rPr>
                <w:b/>
                <w:sz w:val="20"/>
                <w:szCs w:val="20"/>
              </w:rPr>
            </w:pPr>
            <w:r w:rsidRPr="00BB7A96">
              <w:rPr>
                <w:b/>
                <w:sz w:val="20"/>
                <w:szCs w:val="20"/>
              </w:rPr>
              <w:t>Nowot</w:t>
            </w:r>
            <w:r w:rsidR="00FA0342" w:rsidRPr="00BB7A96">
              <w:rPr>
                <w:b/>
                <w:sz w:val="20"/>
                <w:szCs w:val="20"/>
              </w:rPr>
              <w:t>wory związane z przeciwciałami</w:t>
            </w:r>
          </w:p>
        </w:tc>
      </w:tr>
      <w:tr w:rsidR="00163F66" w:rsidRPr="00BB7A96" w:rsidTr="00B37EB4">
        <w:trPr>
          <w:trHeight w:val="1585"/>
        </w:trPr>
        <w:tc>
          <w:tcPr>
            <w:tcW w:w="2979" w:type="dxa"/>
            <w:shd w:val="clear" w:color="auto" w:fill="EAF1DD" w:themeFill="accent3" w:themeFillTint="33"/>
          </w:tcPr>
          <w:p w:rsidR="00FA0342" w:rsidRPr="00BB7A96" w:rsidRDefault="00FA0342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b/>
                <w:bCs/>
                <w:sz w:val="20"/>
                <w:szCs w:val="20"/>
              </w:rPr>
              <w:t>Przeciwciała przeciw receptorom glutaminianu NMDA  (a-NMDA)</w:t>
            </w:r>
          </w:p>
        </w:tc>
        <w:tc>
          <w:tcPr>
            <w:tcW w:w="2799" w:type="dxa"/>
            <w:shd w:val="clear" w:color="auto" w:fill="EAF1DD" w:themeFill="accent3" w:themeFillTint="33"/>
          </w:tcPr>
          <w:p w:rsidR="00A43F3E" w:rsidRDefault="00FA0342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 xml:space="preserve">Zapalenie mózgu związane z obecnością przeciwciał </w:t>
            </w:r>
          </w:p>
          <w:p w:rsidR="00FA0342" w:rsidRPr="00BB7A96" w:rsidRDefault="00FA0342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>a-NMDA</w:t>
            </w:r>
          </w:p>
        </w:tc>
        <w:tc>
          <w:tcPr>
            <w:tcW w:w="3544" w:type="dxa"/>
            <w:shd w:val="clear" w:color="auto" w:fill="EAF1DD" w:themeFill="accent3" w:themeFillTint="33"/>
          </w:tcPr>
          <w:p w:rsidR="00FA0342" w:rsidRPr="00BB7A96" w:rsidRDefault="00FA0342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>Psychoza, objawy grypopodobne, zmiany osobowości i zachowania, halucynacje, zaburzenia myślowe, zaburzenia ruchu. W dalszych etapach: zaburzenia przytomności, padaczka, hipowentylacja.</w:t>
            </w:r>
          </w:p>
        </w:tc>
        <w:tc>
          <w:tcPr>
            <w:tcW w:w="2394" w:type="dxa"/>
            <w:shd w:val="clear" w:color="auto" w:fill="EAF1DD" w:themeFill="accent3" w:themeFillTint="33"/>
          </w:tcPr>
          <w:p w:rsidR="00FA0342" w:rsidRPr="00BB7A96" w:rsidRDefault="00FA0342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>35-45%</w:t>
            </w:r>
          </w:p>
        </w:tc>
        <w:tc>
          <w:tcPr>
            <w:tcW w:w="3413" w:type="dxa"/>
            <w:shd w:val="clear" w:color="auto" w:fill="EAF1DD" w:themeFill="accent3" w:themeFillTint="33"/>
          </w:tcPr>
          <w:p w:rsidR="00FA0342" w:rsidRPr="00BB7A96" w:rsidRDefault="00FA0342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 xml:space="preserve">Nowotwór jajnika (potworniak), rak jądra, rak drobnokomórkowy płuc, </w:t>
            </w:r>
            <w:proofErr w:type="spellStart"/>
            <w:r w:rsidRPr="00BB7A96">
              <w:rPr>
                <w:sz w:val="20"/>
                <w:szCs w:val="20"/>
              </w:rPr>
              <w:t>neuroblastoma</w:t>
            </w:r>
            <w:proofErr w:type="spellEnd"/>
            <w:r w:rsidRPr="00BB7A96">
              <w:rPr>
                <w:sz w:val="20"/>
                <w:szCs w:val="20"/>
              </w:rPr>
              <w:t xml:space="preserve">, ziarnica </w:t>
            </w:r>
            <w:proofErr w:type="spellStart"/>
            <w:r w:rsidRPr="00BB7A96">
              <w:rPr>
                <w:sz w:val="20"/>
                <w:szCs w:val="20"/>
              </w:rPr>
              <w:t>Hodgkina</w:t>
            </w:r>
            <w:proofErr w:type="spellEnd"/>
            <w:r w:rsidRPr="00BB7A96">
              <w:rPr>
                <w:sz w:val="20"/>
                <w:szCs w:val="20"/>
              </w:rPr>
              <w:t>, rzadziej: rak piersi,</w:t>
            </w:r>
          </w:p>
        </w:tc>
      </w:tr>
      <w:tr w:rsidR="00163F66" w:rsidRPr="00BB7A96" w:rsidTr="00B37EB4">
        <w:trPr>
          <w:trHeight w:val="313"/>
        </w:trPr>
        <w:tc>
          <w:tcPr>
            <w:tcW w:w="2979" w:type="dxa"/>
            <w:shd w:val="clear" w:color="auto" w:fill="D6E3BC" w:themeFill="accent3" w:themeFillTint="66"/>
          </w:tcPr>
          <w:p w:rsidR="00FA0342" w:rsidRPr="00BB7A96" w:rsidRDefault="00FA0342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b/>
                <w:bCs/>
                <w:sz w:val="20"/>
                <w:szCs w:val="20"/>
              </w:rPr>
              <w:t>Przeciwciała przeciw podjednostkom GluR1/GluR2 receptora glutaminianowego (AMPA)</w:t>
            </w:r>
          </w:p>
        </w:tc>
        <w:tc>
          <w:tcPr>
            <w:tcW w:w="2799" w:type="dxa"/>
            <w:shd w:val="clear" w:color="auto" w:fill="D6E3BC" w:themeFill="accent3" w:themeFillTint="66"/>
          </w:tcPr>
          <w:p w:rsidR="00FA0342" w:rsidRPr="00BB7A96" w:rsidRDefault="00FA0342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 xml:space="preserve">Autoimmunologiczne zapalenie układu limbicznego </w:t>
            </w:r>
          </w:p>
        </w:tc>
        <w:tc>
          <w:tcPr>
            <w:tcW w:w="3544" w:type="dxa"/>
            <w:shd w:val="clear" w:color="auto" w:fill="D6E3BC" w:themeFill="accent3" w:themeFillTint="66"/>
          </w:tcPr>
          <w:p w:rsidR="00FA0342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>Utrata pamięci,  zmieszanie, dezorientacja, letarg, pobudzenie, zachowanie agresywne, halucynacje, epilepsja, oczopląs</w:t>
            </w:r>
          </w:p>
        </w:tc>
        <w:tc>
          <w:tcPr>
            <w:tcW w:w="2394" w:type="dxa"/>
            <w:shd w:val="clear" w:color="auto" w:fill="D6E3BC" w:themeFill="accent3" w:themeFillTint="66"/>
          </w:tcPr>
          <w:p w:rsidR="00FA0342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 xml:space="preserve">70-75% </w:t>
            </w:r>
          </w:p>
        </w:tc>
        <w:tc>
          <w:tcPr>
            <w:tcW w:w="3413" w:type="dxa"/>
            <w:shd w:val="clear" w:color="auto" w:fill="D6E3BC" w:themeFill="accent3" w:themeFillTint="66"/>
          </w:tcPr>
          <w:p w:rsidR="00FA0342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 xml:space="preserve">Rak drobnokomórkowy i </w:t>
            </w:r>
            <w:proofErr w:type="spellStart"/>
            <w:r w:rsidRPr="00BB7A96">
              <w:rPr>
                <w:sz w:val="20"/>
                <w:szCs w:val="20"/>
              </w:rPr>
              <w:t>niedrobnokomórkowy</w:t>
            </w:r>
            <w:proofErr w:type="spellEnd"/>
            <w:r w:rsidRPr="00BB7A96">
              <w:rPr>
                <w:sz w:val="20"/>
                <w:szCs w:val="20"/>
              </w:rPr>
              <w:t xml:space="preserve"> płuc, </w:t>
            </w:r>
            <w:proofErr w:type="spellStart"/>
            <w:r w:rsidRPr="00BB7A96">
              <w:rPr>
                <w:sz w:val="20"/>
                <w:szCs w:val="20"/>
              </w:rPr>
              <w:t>grasiczak</w:t>
            </w:r>
            <w:proofErr w:type="spellEnd"/>
            <w:r w:rsidRPr="00BB7A96">
              <w:rPr>
                <w:sz w:val="20"/>
                <w:szCs w:val="20"/>
              </w:rPr>
              <w:t>, rak piersi</w:t>
            </w:r>
          </w:p>
        </w:tc>
      </w:tr>
      <w:tr w:rsidR="00B37EB4" w:rsidRPr="00BB7A96" w:rsidTr="00B37EB4">
        <w:trPr>
          <w:trHeight w:val="296"/>
        </w:trPr>
        <w:tc>
          <w:tcPr>
            <w:tcW w:w="2979" w:type="dxa"/>
            <w:shd w:val="clear" w:color="auto" w:fill="EAF1DD" w:themeFill="accent3" w:themeFillTint="33"/>
          </w:tcPr>
          <w:p w:rsidR="00FA0342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b/>
                <w:bCs/>
                <w:sz w:val="20"/>
                <w:szCs w:val="20"/>
              </w:rPr>
              <w:t>Przeciwciała przeciw receptorowi GABA</w:t>
            </w:r>
            <w:r w:rsidRPr="00BB7A96">
              <w:rPr>
                <w:b/>
                <w:bCs/>
                <w:sz w:val="20"/>
                <w:szCs w:val="20"/>
                <w:vertAlign w:val="subscript"/>
              </w:rPr>
              <w:t>B</w:t>
            </w:r>
          </w:p>
        </w:tc>
        <w:tc>
          <w:tcPr>
            <w:tcW w:w="2799" w:type="dxa"/>
            <w:shd w:val="clear" w:color="auto" w:fill="EAF1DD" w:themeFill="accent3" w:themeFillTint="33"/>
          </w:tcPr>
          <w:p w:rsidR="00FA0342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>Limbiczne zapalenie mózgu</w:t>
            </w:r>
          </w:p>
        </w:tc>
        <w:tc>
          <w:tcPr>
            <w:tcW w:w="3544" w:type="dxa"/>
            <w:shd w:val="clear" w:color="auto" w:fill="EAF1DD" w:themeFill="accent3" w:themeFillTint="33"/>
          </w:tcPr>
          <w:p w:rsidR="00FA0342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>Napady padaczkowe, dezorientacja, zaburzenia pamięci, psychoza, urojenia, halucynacje, zaburzenia snu i świadomości</w:t>
            </w:r>
          </w:p>
        </w:tc>
        <w:tc>
          <w:tcPr>
            <w:tcW w:w="2394" w:type="dxa"/>
            <w:shd w:val="clear" w:color="auto" w:fill="EAF1DD" w:themeFill="accent3" w:themeFillTint="33"/>
          </w:tcPr>
          <w:p w:rsidR="00FA0342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>50-80%</w:t>
            </w:r>
          </w:p>
        </w:tc>
        <w:tc>
          <w:tcPr>
            <w:tcW w:w="3413" w:type="dxa"/>
            <w:shd w:val="clear" w:color="auto" w:fill="EAF1DD" w:themeFill="accent3" w:themeFillTint="33"/>
          </w:tcPr>
          <w:p w:rsidR="00FA0342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>Rak drobnokomórkowy płuc, rakowiak grasicy</w:t>
            </w:r>
          </w:p>
        </w:tc>
      </w:tr>
      <w:tr w:rsidR="00BB7A96" w:rsidRPr="00BB7A96" w:rsidTr="00B37EB4">
        <w:trPr>
          <w:trHeight w:val="313"/>
        </w:trPr>
        <w:tc>
          <w:tcPr>
            <w:tcW w:w="15129" w:type="dxa"/>
            <w:gridSpan w:val="5"/>
            <w:shd w:val="clear" w:color="auto" w:fill="76923C" w:themeFill="accent3" w:themeFillShade="BF"/>
          </w:tcPr>
          <w:p w:rsidR="00BB7A96" w:rsidRPr="00BB7A96" w:rsidRDefault="00BB7A96" w:rsidP="00BB7A96">
            <w:pPr>
              <w:contextualSpacing/>
              <w:rPr>
                <w:b/>
                <w:sz w:val="20"/>
                <w:szCs w:val="20"/>
              </w:rPr>
            </w:pPr>
            <w:r w:rsidRPr="00BB7A96">
              <w:rPr>
                <w:b/>
                <w:sz w:val="20"/>
                <w:szCs w:val="20"/>
              </w:rPr>
              <w:t>PRZECIWCIAŁA PRZECIWKO BIAŁKOM ZWIĄZANYM Z KANAŁAMI POTASOWYMI</w:t>
            </w:r>
          </w:p>
        </w:tc>
      </w:tr>
      <w:tr w:rsidR="00163F66" w:rsidRPr="00BB7A96" w:rsidTr="00B37EB4">
        <w:trPr>
          <w:trHeight w:val="296"/>
        </w:trPr>
        <w:tc>
          <w:tcPr>
            <w:tcW w:w="2979" w:type="dxa"/>
            <w:shd w:val="clear" w:color="auto" w:fill="D6E3BC" w:themeFill="accent3" w:themeFillTint="66"/>
          </w:tcPr>
          <w:p w:rsidR="00FA0342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b/>
                <w:bCs/>
                <w:sz w:val="20"/>
                <w:szCs w:val="20"/>
              </w:rPr>
              <w:t>a-LGI1</w:t>
            </w:r>
          </w:p>
        </w:tc>
        <w:tc>
          <w:tcPr>
            <w:tcW w:w="2799" w:type="dxa"/>
            <w:shd w:val="clear" w:color="auto" w:fill="D6E3BC" w:themeFill="accent3" w:themeFillTint="66"/>
          </w:tcPr>
          <w:p w:rsidR="00FA0342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>Limbiczne zapalenie mózgu</w:t>
            </w:r>
          </w:p>
        </w:tc>
        <w:tc>
          <w:tcPr>
            <w:tcW w:w="3544" w:type="dxa"/>
            <w:shd w:val="clear" w:color="auto" w:fill="D6E3BC" w:themeFill="accent3" w:themeFillTint="66"/>
          </w:tcPr>
          <w:p w:rsidR="00FA0342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 xml:space="preserve">Napady padaczkowe, zaburzenia pamięci, dezorientacja, hiponatremia, </w:t>
            </w:r>
            <w:proofErr w:type="spellStart"/>
            <w:r w:rsidRPr="00BB7A96">
              <w:rPr>
                <w:sz w:val="20"/>
                <w:szCs w:val="20"/>
              </w:rPr>
              <w:t>mioklonia</w:t>
            </w:r>
            <w:proofErr w:type="spellEnd"/>
            <w:r w:rsidRPr="00BB7A96">
              <w:rPr>
                <w:sz w:val="20"/>
                <w:szCs w:val="20"/>
              </w:rPr>
              <w:t xml:space="preserve">, </w:t>
            </w:r>
            <w:proofErr w:type="spellStart"/>
            <w:r w:rsidRPr="00BB7A96">
              <w:rPr>
                <w:sz w:val="20"/>
                <w:szCs w:val="20"/>
              </w:rPr>
              <w:t>dysautonomia</w:t>
            </w:r>
            <w:proofErr w:type="spellEnd"/>
          </w:p>
        </w:tc>
        <w:tc>
          <w:tcPr>
            <w:tcW w:w="2394" w:type="dxa"/>
            <w:shd w:val="clear" w:color="auto" w:fill="D6E3BC" w:themeFill="accent3" w:themeFillTint="66"/>
          </w:tcPr>
          <w:p w:rsidR="00FA0342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>0-10%</w:t>
            </w:r>
          </w:p>
        </w:tc>
        <w:tc>
          <w:tcPr>
            <w:tcW w:w="3413" w:type="dxa"/>
            <w:shd w:val="clear" w:color="auto" w:fill="D6E3BC" w:themeFill="accent3" w:themeFillTint="66"/>
          </w:tcPr>
          <w:p w:rsidR="00FA0342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 xml:space="preserve">Rak tarczycy, </w:t>
            </w:r>
            <w:proofErr w:type="spellStart"/>
            <w:r w:rsidRPr="00BB7A96">
              <w:rPr>
                <w:sz w:val="20"/>
                <w:szCs w:val="20"/>
              </w:rPr>
              <w:t>grasiczak</w:t>
            </w:r>
            <w:proofErr w:type="spellEnd"/>
            <w:r w:rsidRPr="00BB7A96">
              <w:rPr>
                <w:sz w:val="20"/>
                <w:szCs w:val="20"/>
              </w:rPr>
              <w:t>, drobnokomórkowy rak płuc, rak nerki, potworniak jądra</w:t>
            </w:r>
          </w:p>
        </w:tc>
      </w:tr>
      <w:tr w:rsidR="00163F66" w:rsidRPr="00BB7A96" w:rsidTr="00B37EB4">
        <w:trPr>
          <w:trHeight w:val="313"/>
        </w:trPr>
        <w:tc>
          <w:tcPr>
            <w:tcW w:w="2979" w:type="dxa"/>
            <w:shd w:val="clear" w:color="auto" w:fill="EAF1DD" w:themeFill="accent3" w:themeFillTint="33"/>
          </w:tcPr>
          <w:p w:rsidR="00BB7A96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b/>
                <w:bCs/>
                <w:sz w:val="20"/>
                <w:szCs w:val="20"/>
              </w:rPr>
              <w:t>a-CASPR2</w:t>
            </w:r>
          </w:p>
        </w:tc>
        <w:tc>
          <w:tcPr>
            <w:tcW w:w="2799" w:type="dxa"/>
            <w:shd w:val="clear" w:color="auto" w:fill="EAF1DD" w:themeFill="accent3" w:themeFillTint="33"/>
          </w:tcPr>
          <w:p w:rsidR="00BB7A96" w:rsidRPr="00BB7A96" w:rsidRDefault="00BB7A96" w:rsidP="00BB7A96">
            <w:pPr>
              <w:contextualSpacing/>
              <w:rPr>
                <w:sz w:val="20"/>
                <w:szCs w:val="20"/>
              </w:rPr>
            </w:pPr>
            <w:proofErr w:type="spellStart"/>
            <w:r w:rsidRPr="00BB7A96">
              <w:rPr>
                <w:sz w:val="20"/>
                <w:szCs w:val="20"/>
              </w:rPr>
              <w:t>Neuromiotonia</w:t>
            </w:r>
            <w:proofErr w:type="spellEnd"/>
            <w:r w:rsidRPr="00BB7A96">
              <w:rPr>
                <w:sz w:val="20"/>
                <w:szCs w:val="20"/>
              </w:rPr>
              <w:t xml:space="preserve"> </w:t>
            </w:r>
          </w:p>
          <w:p w:rsidR="00BB7A96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 xml:space="preserve">Zespół </w:t>
            </w:r>
            <w:proofErr w:type="spellStart"/>
            <w:r w:rsidRPr="00BB7A96">
              <w:rPr>
                <w:sz w:val="20"/>
                <w:szCs w:val="20"/>
              </w:rPr>
              <w:t>Morvana</w:t>
            </w:r>
            <w:proofErr w:type="spellEnd"/>
            <w:r w:rsidRPr="00BB7A96">
              <w:rPr>
                <w:sz w:val="20"/>
                <w:szCs w:val="20"/>
              </w:rPr>
              <w:t xml:space="preserve"> </w:t>
            </w:r>
          </w:p>
          <w:p w:rsidR="00BB7A96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>Limbiczne zapalenie mózgu</w:t>
            </w:r>
          </w:p>
        </w:tc>
        <w:tc>
          <w:tcPr>
            <w:tcW w:w="3544" w:type="dxa"/>
            <w:shd w:val="clear" w:color="auto" w:fill="EAF1DD" w:themeFill="accent3" w:themeFillTint="33"/>
          </w:tcPr>
          <w:p w:rsidR="00BB7A96" w:rsidRPr="00BB7A96" w:rsidRDefault="00BB7A96" w:rsidP="00BB7A96">
            <w:pPr>
              <w:contextualSpacing/>
              <w:rPr>
                <w:sz w:val="20"/>
                <w:szCs w:val="20"/>
              </w:rPr>
            </w:pPr>
            <w:proofErr w:type="spellStart"/>
            <w:r w:rsidRPr="00BB7A96">
              <w:rPr>
                <w:sz w:val="20"/>
                <w:szCs w:val="20"/>
              </w:rPr>
              <w:t>Neuromiotonia</w:t>
            </w:r>
            <w:proofErr w:type="spellEnd"/>
            <w:r w:rsidRPr="00BB7A96">
              <w:rPr>
                <w:sz w:val="20"/>
                <w:szCs w:val="20"/>
              </w:rPr>
              <w:t xml:space="preserve">, zaburzenia pamięci, napady drgawek, </w:t>
            </w:r>
            <w:proofErr w:type="spellStart"/>
            <w:r w:rsidRPr="00BB7A96">
              <w:rPr>
                <w:sz w:val="20"/>
                <w:szCs w:val="20"/>
              </w:rPr>
              <w:t>dezorietnacja</w:t>
            </w:r>
            <w:proofErr w:type="spellEnd"/>
            <w:r w:rsidRPr="00BB7A96">
              <w:rPr>
                <w:sz w:val="20"/>
                <w:szCs w:val="20"/>
              </w:rPr>
              <w:t xml:space="preserve">, ból, bezsenność, </w:t>
            </w:r>
            <w:proofErr w:type="spellStart"/>
            <w:r w:rsidRPr="00BB7A96">
              <w:rPr>
                <w:sz w:val="20"/>
                <w:szCs w:val="20"/>
              </w:rPr>
              <w:t>dysautonomia</w:t>
            </w:r>
            <w:proofErr w:type="spellEnd"/>
            <w:r w:rsidRPr="00BB7A96">
              <w:rPr>
                <w:sz w:val="20"/>
                <w:szCs w:val="20"/>
              </w:rPr>
              <w:t xml:space="preserve">, utrata masy </w:t>
            </w:r>
            <w:proofErr w:type="spellStart"/>
            <w:r w:rsidRPr="00BB7A96">
              <w:rPr>
                <w:sz w:val="20"/>
                <w:szCs w:val="20"/>
              </w:rPr>
              <w:t>ciałą</w:t>
            </w:r>
            <w:proofErr w:type="spellEnd"/>
            <w:r w:rsidRPr="00BB7A96">
              <w:rPr>
                <w:sz w:val="20"/>
                <w:szCs w:val="20"/>
              </w:rPr>
              <w:t xml:space="preserve">, hiponatremia </w:t>
            </w:r>
          </w:p>
        </w:tc>
        <w:tc>
          <w:tcPr>
            <w:tcW w:w="2394" w:type="dxa"/>
            <w:shd w:val="clear" w:color="auto" w:fill="EAF1DD" w:themeFill="accent3" w:themeFillTint="33"/>
          </w:tcPr>
          <w:p w:rsidR="00BB7A96" w:rsidRPr="00BB7A96" w:rsidRDefault="00BB7A96" w:rsidP="00BB7A96">
            <w:pPr>
              <w:contextualSpacing/>
              <w:rPr>
                <w:sz w:val="20"/>
                <w:szCs w:val="20"/>
              </w:rPr>
            </w:pPr>
            <w:r w:rsidRPr="00BB7A96">
              <w:rPr>
                <w:sz w:val="20"/>
                <w:szCs w:val="20"/>
              </w:rPr>
              <w:t>0-35%</w:t>
            </w:r>
          </w:p>
        </w:tc>
        <w:tc>
          <w:tcPr>
            <w:tcW w:w="3413" w:type="dxa"/>
            <w:shd w:val="clear" w:color="auto" w:fill="EAF1DD" w:themeFill="accent3" w:themeFillTint="33"/>
          </w:tcPr>
          <w:p w:rsidR="00BB7A96" w:rsidRPr="00BB7A96" w:rsidRDefault="00BB7A96" w:rsidP="00BB7A96">
            <w:pPr>
              <w:contextualSpacing/>
              <w:rPr>
                <w:sz w:val="20"/>
                <w:szCs w:val="20"/>
              </w:rPr>
            </w:pPr>
            <w:proofErr w:type="spellStart"/>
            <w:r w:rsidRPr="00BB7A96">
              <w:rPr>
                <w:sz w:val="20"/>
                <w:szCs w:val="20"/>
              </w:rPr>
              <w:t>Grasiczak</w:t>
            </w:r>
            <w:proofErr w:type="spellEnd"/>
            <w:r w:rsidRPr="00BB7A96">
              <w:rPr>
                <w:sz w:val="20"/>
                <w:szCs w:val="20"/>
              </w:rPr>
              <w:t>, gruczolakorak trzonu macicy</w:t>
            </w:r>
          </w:p>
        </w:tc>
      </w:tr>
    </w:tbl>
    <w:p w:rsidR="00DC0F5A" w:rsidRDefault="00DC0F5A"/>
    <w:sectPr w:rsidR="00DC0F5A" w:rsidSect="00163F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F62D4"/>
    <w:multiLevelType w:val="hybridMultilevel"/>
    <w:tmpl w:val="79B0FA7A"/>
    <w:lvl w:ilvl="0" w:tplc="B74C5DB2">
      <w:start w:val="1"/>
      <w:numFmt w:val="bullet"/>
      <w:lvlText w:val="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F3D8614A" w:tentative="1">
      <w:start w:val="1"/>
      <w:numFmt w:val="bullet"/>
      <w:lvlText w:val="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2" w:tplc="E5CE9F0E" w:tentative="1">
      <w:start w:val="1"/>
      <w:numFmt w:val="bullet"/>
      <w:lvlText w:val="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3" w:tplc="70F02476" w:tentative="1">
      <w:start w:val="1"/>
      <w:numFmt w:val="bullet"/>
      <w:lvlText w:val="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4" w:tplc="50786462" w:tentative="1">
      <w:start w:val="1"/>
      <w:numFmt w:val="bullet"/>
      <w:lvlText w:val="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5" w:tplc="5B123664" w:tentative="1">
      <w:start w:val="1"/>
      <w:numFmt w:val="bullet"/>
      <w:lvlText w:val="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6" w:tplc="1B3E91A2" w:tentative="1">
      <w:start w:val="1"/>
      <w:numFmt w:val="bullet"/>
      <w:lvlText w:val="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7" w:tplc="89982DDE" w:tentative="1">
      <w:start w:val="1"/>
      <w:numFmt w:val="bullet"/>
      <w:lvlText w:val="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8" w:tplc="FE9E873E" w:tentative="1">
      <w:start w:val="1"/>
      <w:numFmt w:val="bullet"/>
      <w:lvlText w:val="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</w:abstractNum>
  <w:abstractNum w:abstractNumId="1">
    <w:nsid w:val="14C928B7"/>
    <w:multiLevelType w:val="hybridMultilevel"/>
    <w:tmpl w:val="8396A0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1E3671"/>
    <w:multiLevelType w:val="hybridMultilevel"/>
    <w:tmpl w:val="8C7AB1AE"/>
    <w:lvl w:ilvl="0" w:tplc="F3FA6F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9ABA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109C1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C8266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34ACF2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48EB70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A3AF5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1C4B18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55A134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94B6E9D"/>
    <w:multiLevelType w:val="hybridMultilevel"/>
    <w:tmpl w:val="98543A9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F357AA2"/>
    <w:multiLevelType w:val="hybridMultilevel"/>
    <w:tmpl w:val="1F463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7925"/>
    <w:rsid w:val="000015A7"/>
    <w:rsid w:val="00053A72"/>
    <w:rsid w:val="000B0C7D"/>
    <w:rsid w:val="000D7FD5"/>
    <w:rsid w:val="00120B7E"/>
    <w:rsid w:val="0013526F"/>
    <w:rsid w:val="00163F66"/>
    <w:rsid w:val="00384699"/>
    <w:rsid w:val="003A2D84"/>
    <w:rsid w:val="00440DDB"/>
    <w:rsid w:val="00450B58"/>
    <w:rsid w:val="004E7925"/>
    <w:rsid w:val="005433C0"/>
    <w:rsid w:val="00674A8F"/>
    <w:rsid w:val="00A10FB8"/>
    <w:rsid w:val="00A20C41"/>
    <w:rsid w:val="00A43F3E"/>
    <w:rsid w:val="00B37EB4"/>
    <w:rsid w:val="00BB7A96"/>
    <w:rsid w:val="00C34CB5"/>
    <w:rsid w:val="00CA59DB"/>
    <w:rsid w:val="00CB6F02"/>
    <w:rsid w:val="00CE70A8"/>
    <w:rsid w:val="00D57BDB"/>
    <w:rsid w:val="00DA0900"/>
    <w:rsid w:val="00DC0F5A"/>
    <w:rsid w:val="00E67BD0"/>
    <w:rsid w:val="00FA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09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0D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015A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74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4A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9885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257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196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3887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828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245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685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36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249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3095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413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Agnieszka Cudna</cp:lastModifiedBy>
  <cp:revision>14</cp:revision>
  <dcterms:created xsi:type="dcterms:W3CDTF">2015-05-20T06:17:00Z</dcterms:created>
  <dcterms:modified xsi:type="dcterms:W3CDTF">2018-04-24T09:53:00Z</dcterms:modified>
</cp:coreProperties>
</file>