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1DD" w:rsidRPr="00A201DD" w:rsidRDefault="00A201DD" w:rsidP="00A201DD">
      <w:pPr>
        <w:spacing w:before="100" w:beforeAutospacing="1" w:after="100" w:afterAutospacing="1" w:line="240" w:lineRule="auto"/>
        <w:rPr>
          <w:rStyle w:val="Pogrubienie"/>
          <w:rFonts w:ascii="Times New Roman" w:eastAsia="Times New Roman" w:hAnsi="Times New Roman" w:cs="Times New Roman"/>
          <w:b w:val="0"/>
          <w:bCs w:val="0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BADANIE W KIERUNKU OBECNOŚCI PRZECIWCIAŁ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PRZECIWKO AKWAPORYNIE 4</w:t>
      </w:r>
      <w:r w:rsidRPr="005922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__________________________________________________</w:t>
      </w:r>
    </w:p>
    <w:p w:rsidR="00A201DD" w:rsidRDefault="00A201DD" w:rsidP="00A201DD">
      <w:pPr>
        <w:pStyle w:val="style4"/>
        <w:rPr>
          <w:rStyle w:val="Pogrubienie"/>
        </w:rPr>
      </w:pPr>
      <w:r>
        <w:rPr>
          <w:rStyle w:val="Pogrubienie"/>
        </w:rPr>
        <w:t>Materiał niezbędny do wykonania badania:</w:t>
      </w:r>
    </w:p>
    <w:p w:rsidR="00A201DD" w:rsidRPr="00D259D6" w:rsidRDefault="00A201DD" w:rsidP="00A201DD">
      <w:pPr>
        <w:pStyle w:val="style4"/>
        <w:numPr>
          <w:ilvl w:val="0"/>
          <w:numId w:val="2"/>
        </w:numPr>
        <w:rPr>
          <w:b/>
          <w:bCs/>
        </w:rPr>
      </w:pPr>
      <w:r>
        <w:t xml:space="preserve">Surowica: 2 ml lub krew pobrana „na skrzep”: ok. 3-5 ml </w:t>
      </w:r>
      <w:r>
        <w:rPr>
          <w:rStyle w:val="Pogrubienie"/>
          <w:u w:val="single"/>
        </w:rPr>
        <w:t>i/lub</w:t>
      </w:r>
    </w:p>
    <w:p w:rsidR="00A201DD" w:rsidRDefault="00A201DD" w:rsidP="00A201DD">
      <w:pPr>
        <w:pStyle w:val="style4"/>
        <w:numPr>
          <w:ilvl w:val="0"/>
          <w:numId w:val="2"/>
        </w:numPr>
      </w:pPr>
      <w:r w:rsidRPr="00A201DD">
        <w:rPr>
          <w:rStyle w:val="Pogrubienie"/>
          <w:b w:val="0"/>
        </w:rPr>
        <w:t>P</w:t>
      </w:r>
      <w:r>
        <w:t>łyn mózgowo-rdzeniowy: 0,5 ml</w:t>
      </w:r>
    </w:p>
    <w:p w:rsidR="00A201DD" w:rsidRPr="0074420B" w:rsidRDefault="00A201DD" w:rsidP="00A201DD">
      <w:pPr>
        <w:pStyle w:val="style4"/>
      </w:pPr>
      <w:r>
        <w:t>Materiałem pierwszego wyboru jest surowica / krew pobrana „na skrzep”.</w:t>
      </w:r>
    </w:p>
    <w:p w:rsidR="00A201DD" w:rsidRDefault="00A201DD" w:rsidP="00A2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Temperatura/ czas przechowywania materiału przed wysyłką:</w:t>
      </w:r>
    </w:p>
    <w:p w:rsidR="00A201DD" w:rsidRDefault="00A201DD" w:rsidP="00A201D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Krew pobrana „na skrzep”:</w:t>
      </w:r>
    </w:p>
    <w:p w:rsidR="00A201DD" w:rsidRDefault="00A201DD" w:rsidP="00A201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A201DD" w:rsidRDefault="00A201DD" w:rsidP="00A201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A201DD" w:rsidRDefault="00A201DD" w:rsidP="00A201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01DD" w:rsidRDefault="00A201DD" w:rsidP="00A201D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Surowica i płyn mózgowo-rdzeniowy:</w:t>
      </w:r>
    </w:p>
    <w:p w:rsidR="00A201DD" w:rsidRDefault="00A201DD" w:rsidP="00A201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1 godziny: temp. pokojowa</w:t>
      </w:r>
    </w:p>
    <w:p w:rsidR="00A201DD" w:rsidRDefault="00A201DD" w:rsidP="00A201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7 dni</w:t>
      </w:r>
    </w:p>
    <w:p w:rsidR="00A201DD" w:rsidRDefault="00A201DD" w:rsidP="00A201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do 2 miesięcy</w:t>
      </w:r>
    </w:p>
    <w:p w:rsidR="00A201DD" w:rsidRDefault="00A201DD" w:rsidP="00A201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powyżej 2 miesięcy</w:t>
      </w:r>
    </w:p>
    <w:p w:rsidR="00A201DD" w:rsidRDefault="00A201DD" w:rsidP="00A2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A201DD" w:rsidRDefault="00A201DD" w:rsidP="00A201D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do 1 godziny od pobrania: temp. pokojowa</w:t>
      </w:r>
    </w:p>
    <w:p w:rsidR="00A201DD" w:rsidRPr="007B5E94" w:rsidRDefault="00A201DD" w:rsidP="00A201D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A201DD" w:rsidRDefault="00A201DD" w:rsidP="00A2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A201DD" w:rsidRDefault="00A201DD" w:rsidP="00A201D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A201DD" w:rsidRDefault="00A201DD" w:rsidP="00A201D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A201DD" w:rsidRPr="007B5E94" w:rsidRDefault="00A201DD" w:rsidP="00A201D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B328AE" w:rsidRDefault="00B328AE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449A3" w:rsidRPr="00EC6B4C" w:rsidRDefault="00B449A3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badania:</w:t>
      </w:r>
      <w:r w:rsidRPr="00EC6B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B1A56">
        <w:rPr>
          <w:rFonts w:ascii="Times New Roman" w:eastAsia="Times New Roman" w:hAnsi="Times New Roman" w:cs="Times New Roman"/>
          <w:sz w:val="24"/>
          <w:szCs w:val="24"/>
          <w:lang w:eastAsia="pl-PL"/>
        </w:rPr>
        <w:t>2 tygodnie</w:t>
      </w:r>
    </w:p>
    <w:p w:rsidR="00B449A3" w:rsidRDefault="00B449A3" w:rsidP="00B449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6B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 badań: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B449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120 zł </w:t>
      </w:r>
      <w:r w:rsidR="00EF440B">
        <w:rPr>
          <w:rFonts w:ascii="Times New Roman" w:eastAsia="Times New Roman" w:hAnsi="Times New Roman" w:cs="Times New Roman"/>
          <w:sz w:val="24"/>
          <w:szCs w:val="24"/>
          <w:lang w:eastAsia="pl-PL"/>
        </w:rPr>
        <w:t>za oznaczenie w 1 materiale</w:t>
      </w:r>
    </w:p>
    <w:p w:rsidR="00A201DD" w:rsidRDefault="00A201DD" w:rsidP="00A201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Metoda badania: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immunofluorescencji pośredniej z wykorzystaniem komórek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transfekowanych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(tzw. </w:t>
      </w:r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Cell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Based</w:t>
      </w:r>
      <w:proofErr w:type="spellEnd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Pr="0074420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Assay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CBA)</w:t>
      </w:r>
    </w:p>
    <w:p w:rsidR="004A3CFC" w:rsidRDefault="00880873" w:rsidP="008808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Interpretacja wyników badania: </w:t>
      </w:r>
      <w:r w:rsidRPr="005922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odbywa się na podstawie obrazu preparatu ocenianego pod mikroskopem w świetle fluorescencyjnym </w:t>
      </w:r>
    </w:p>
    <w:p w:rsidR="00DA0900" w:rsidRDefault="00082A72" w:rsidP="008808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Badanie oceniane </w:t>
      </w:r>
      <w:r w:rsidR="004A3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sy</w:t>
      </w:r>
      <w:r w:rsidR="00BD7EBE">
        <w:rPr>
          <w:rFonts w:ascii="Times New Roman" w:eastAsia="Times New Roman" w:hAnsi="Times New Roman" w:cs="Times New Roman"/>
          <w:sz w:val="24"/>
          <w:szCs w:val="24"/>
          <w:lang w:eastAsia="pl-PL"/>
        </w:rPr>
        <w:t>stemie plus/minus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W przypadku wyników dodatnich określane jest miano przeciwciał, czyli ostatnie rozcieńczenie badaneg</w:t>
      </w:r>
      <w:r w:rsidR="00A8677F">
        <w:rPr>
          <w:rFonts w:ascii="Times New Roman" w:eastAsia="Times New Roman" w:hAnsi="Times New Roman" w:cs="Times New Roman"/>
          <w:sz w:val="24"/>
          <w:szCs w:val="24"/>
          <w:lang w:eastAsia="pl-PL"/>
        </w:rPr>
        <w:t>o materiału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którym obserwowana jest fluorescencja. </w:t>
      </w:r>
    </w:p>
    <w:p w:rsidR="0072531B" w:rsidRPr="00EF440B" w:rsidRDefault="0072531B" w:rsidP="0072531B">
      <w:pPr>
        <w:rPr>
          <w:rFonts w:ascii="Times New Roman" w:hAnsi="Times New Roman" w:cs="Times New Roman"/>
          <w:bCs/>
          <w:lang w:val="en-US"/>
        </w:rPr>
      </w:pPr>
      <w:proofErr w:type="spellStart"/>
      <w:r w:rsidRPr="0072531B">
        <w:rPr>
          <w:rFonts w:ascii="Times New Roman" w:hAnsi="Times New Roman" w:cs="Times New Roman"/>
          <w:bCs/>
          <w:lang w:val="en-US"/>
        </w:rPr>
        <w:lastRenderedPageBreak/>
        <w:t>Wingerchuk</w:t>
      </w:r>
      <w:proofErr w:type="spellEnd"/>
      <w:r w:rsidRPr="0072531B">
        <w:rPr>
          <w:rFonts w:ascii="Times New Roman" w:hAnsi="Times New Roman" w:cs="Times New Roman"/>
          <w:bCs/>
          <w:lang w:val="en-US"/>
        </w:rPr>
        <w:t xml:space="preserve"> DM et al. International Panel for NMO Diagnosis. International consensus diagnostic criteria for </w:t>
      </w:r>
      <w:proofErr w:type="spellStart"/>
      <w:r w:rsidRPr="0072531B">
        <w:rPr>
          <w:rFonts w:ascii="Times New Roman" w:hAnsi="Times New Roman" w:cs="Times New Roman"/>
          <w:bCs/>
          <w:lang w:val="en-US"/>
        </w:rPr>
        <w:t>neuromyelitis</w:t>
      </w:r>
      <w:proofErr w:type="spellEnd"/>
      <w:r w:rsidRPr="0072531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72531B">
        <w:rPr>
          <w:rFonts w:ascii="Times New Roman" w:hAnsi="Times New Roman" w:cs="Times New Roman"/>
          <w:bCs/>
          <w:lang w:val="en-US"/>
        </w:rPr>
        <w:t>optica</w:t>
      </w:r>
      <w:proofErr w:type="spellEnd"/>
      <w:r w:rsidRPr="0072531B">
        <w:rPr>
          <w:rFonts w:ascii="Times New Roman" w:hAnsi="Times New Roman" w:cs="Times New Roman"/>
          <w:bCs/>
          <w:lang w:val="en-US"/>
        </w:rPr>
        <w:t xml:space="preserve"> spectrum disorders. </w:t>
      </w:r>
      <w:r w:rsidRPr="00EF440B">
        <w:rPr>
          <w:rFonts w:ascii="Times New Roman" w:hAnsi="Times New Roman" w:cs="Times New Roman"/>
          <w:bCs/>
          <w:lang w:val="en-US"/>
        </w:rPr>
        <w:t>Neurology. 2015 Jul 14;85(2):177-89</w:t>
      </w:r>
    </w:p>
    <w:p w:rsidR="00B328AE" w:rsidRPr="0072531B" w:rsidRDefault="00A913D4" w:rsidP="00A913D4">
      <w:pPr>
        <w:rPr>
          <w:rFonts w:ascii="Times New Roman" w:hAnsi="Times New Roman" w:cs="Times New Roman"/>
          <w:bCs/>
        </w:rPr>
      </w:pPr>
      <w:r w:rsidRPr="00EF440B">
        <w:rPr>
          <w:rFonts w:ascii="Times New Roman" w:hAnsi="Times New Roman" w:cs="Times New Roman"/>
          <w:bCs/>
          <w:lang w:val="en-US"/>
        </w:rPr>
        <w:t xml:space="preserve">Zakrzewska-Pniewska B. et al. </w:t>
      </w:r>
      <w:r w:rsidRPr="00A913D4">
        <w:rPr>
          <w:rFonts w:ascii="Times New Roman" w:hAnsi="Times New Roman" w:cs="Times New Roman"/>
          <w:bCs/>
          <w:lang w:val="en-US"/>
        </w:rPr>
        <w:t xml:space="preserve">Update on diagnosis and treatment of neuromyelitis optica spectrum disorders (NMOSD) – recommendations of Section of Multiple Sclerosis and Neuroimmunology of Polish Neurological Society. </w:t>
      </w:r>
      <w:r w:rsidRPr="00A913D4">
        <w:rPr>
          <w:rFonts w:ascii="Times New Roman" w:hAnsi="Times New Roman" w:cs="Times New Roman"/>
          <w:bCs/>
        </w:rPr>
        <w:t>Neurologia i Neurochirurgia Polska. 2025; 59(1): 6–19.</w:t>
      </w:r>
    </w:p>
    <w:sectPr w:rsidR="00B328AE" w:rsidRPr="0072531B" w:rsidSect="00DA0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565_"/>
      </v:shape>
    </w:pict>
  </w:numPicBullet>
  <w:abstractNum w:abstractNumId="0">
    <w:nsid w:val="06EF3BAF"/>
    <w:multiLevelType w:val="hybridMultilevel"/>
    <w:tmpl w:val="BF06D4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86CF0"/>
    <w:multiLevelType w:val="hybridMultilevel"/>
    <w:tmpl w:val="05FCCE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945A9"/>
    <w:multiLevelType w:val="hybridMultilevel"/>
    <w:tmpl w:val="93B645F8"/>
    <w:lvl w:ilvl="0" w:tplc="2822EA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2D09"/>
    <w:rsid w:val="00082A72"/>
    <w:rsid w:val="001B1A56"/>
    <w:rsid w:val="00223383"/>
    <w:rsid w:val="00252D09"/>
    <w:rsid w:val="003815A0"/>
    <w:rsid w:val="003C4635"/>
    <w:rsid w:val="004A3CFC"/>
    <w:rsid w:val="006076A2"/>
    <w:rsid w:val="0070470D"/>
    <w:rsid w:val="0072531B"/>
    <w:rsid w:val="00783486"/>
    <w:rsid w:val="00880873"/>
    <w:rsid w:val="00A201DD"/>
    <w:rsid w:val="00A8677F"/>
    <w:rsid w:val="00A913D4"/>
    <w:rsid w:val="00B328AE"/>
    <w:rsid w:val="00B449A3"/>
    <w:rsid w:val="00BD7EBE"/>
    <w:rsid w:val="00D71C60"/>
    <w:rsid w:val="00DA0900"/>
    <w:rsid w:val="00EF440B"/>
    <w:rsid w:val="00F6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9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5">
    <w:name w:val="style5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51">
    <w:name w:val="style51"/>
    <w:basedOn w:val="Domylnaczcionkaakapitu"/>
    <w:rsid w:val="00252D09"/>
  </w:style>
  <w:style w:type="character" w:customStyle="1" w:styleId="style41">
    <w:name w:val="style41"/>
    <w:basedOn w:val="Domylnaczcionkaakapitu"/>
    <w:rsid w:val="00252D09"/>
  </w:style>
  <w:style w:type="character" w:customStyle="1" w:styleId="style6">
    <w:name w:val="style6"/>
    <w:basedOn w:val="Domylnaczcionkaakapitu"/>
    <w:rsid w:val="00252D09"/>
  </w:style>
  <w:style w:type="paragraph" w:styleId="Akapitzlist">
    <w:name w:val="List Paragraph"/>
    <w:basedOn w:val="Normalny"/>
    <w:uiPriority w:val="34"/>
    <w:qFormat/>
    <w:rsid w:val="00252D0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201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19</cp:revision>
  <dcterms:created xsi:type="dcterms:W3CDTF">2014-04-01T09:58:00Z</dcterms:created>
  <dcterms:modified xsi:type="dcterms:W3CDTF">2026-08-11T07:43:00Z</dcterms:modified>
</cp:coreProperties>
</file>