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AA" w:rsidRPr="00837ADB" w:rsidRDefault="00B55574" w:rsidP="000E2BAA">
      <w:p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 xml:space="preserve">Węzły </w:t>
      </w:r>
      <w:proofErr w:type="spellStart"/>
      <w:r w:rsidRPr="00837ADB">
        <w:rPr>
          <w:rFonts w:ascii="Times New Roman" w:hAnsi="Times New Roman" w:cs="Times New Roman"/>
        </w:rPr>
        <w:t>Ranviera</w:t>
      </w:r>
      <w:proofErr w:type="spellEnd"/>
      <w:r w:rsidR="00EB69D3" w:rsidRPr="00837ADB">
        <w:rPr>
          <w:rFonts w:ascii="Times New Roman" w:hAnsi="Times New Roman" w:cs="Times New Roman"/>
        </w:rPr>
        <w:t xml:space="preserve"> </w:t>
      </w:r>
      <w:r w:rsidRPr="00837ADB">
        <w:rPr>
          <w:rFonts w:ascii="Times New Roman" w:hAnsi="Times New Roman" w:cs="Times New Roman"/>
        </w:rPr>
        <w:t xml:space="preserve">odgrywają kluczową rolę w szybkim przewodnictwie impulsów nerwowych. </w:t>
      </w:r>
    </w:p>
    <w:p w:rsidR="00A5022E" w:rsidRPr="00837ADB" w:rsidRDefault="00A5022E" w:rsidP="000E2BAA">
      <w:p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 xml:space="preserve">Rys. 1 Schemat przedstawiający węzeł </w:t>
      </w:r>
      <w:proofErr w:type="spellStart"/>
      <w:r w:rsidRPr="00837ADB">
        <w:rPr>
          <w:rFonts w:ascii="Times New Roman" w:hAnsi="Times New Roman" w:cs="Times New Roman"/>
        </w:rPr>
        <w:t>Ranviera</w:t>
      </w:r>
      <w:proofErr w:type="spellEnd"/>
    </w:p>
    <w:p w:rsidR="00A5022E" w:rsidRPr="00837ADB" w:rsidRDefault="00A5022E" w:rsidP="000E2BAA">
      <w:p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4A173622" wp14:editId="7784992E">
            <wp:extent cx="4486275" cy="3120414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de of ranvi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4792" cy="311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7ADB">
        <w:rPr>
          <w:rFonts w:ascii="Times New Roman" w:hAnsi="Times New Roman" w:cs="Times New Roman"/>
        </w:rPr>
        <w:br/>
      </w:r>
      <w:proofErr w:type="spellStart"/>
      <w:r w:rsidRPr="00837ADB">
        <w:rPr>
          <w:rFonts w:ascii="Times New Roman" w:hAnsi="Times New Roman" w:cs="Times New Roman"/>
          <w:i/>
          <w:sz w:val="20"/>
          <w:szCs w:val="20"/>
        </w:rPr>
        <w:t>Collet</w:t>
      </w:r>
      <w:proofErr w:type="spellEnd"/>
      <w:r w:rsidRPr="00837ADB">
        <w:rPr>
          <w:rFonts w:ascii="Times New Roman" w:hAnsi="Times New Roman" w:cs="Times New Roman"/>
          <w:i/>
          <w:sz w:val="20"/>
          <w:szCs w:val="20"/>
        </w:rPr>
        <w:t xml:space="preserve"> R et al. </w:t>
      </w:r>
      <w:r w:rsidRPr="00837ADB">
        <w:rPr>
          <w:rFonts w:ascii="Times New Roman" w:hAnsi="Times New Roman" w:cs="Times New Roman"/>
          <w:i/>
          <w:sz w:val="20"/>
          <w:szCs w:val="20"/>
          <w:lang w:val="en-US"/>
        </w:rPr>
        <w:t xml:space="preserve">Clinical and pathophysiological implications of autoantibodies in autoimmune neuropathies. </w:t>
      </w:r>
      <w:proofErr w:type="spellStart"/>
      <w:r w:rsidRPr="00837ADB">
        <w:rPr>
          <w:rFonts w:ascii="Times New Roman" w:hAnsi="Times New Roman" w:cs="Times New Roman"/>
          <w:i/>
          <w:sz w:val="20"/>
          <w:szCs w:val="20"/>
        </w:rPr>
        <w:t>Rev</w:t>
      </w:r>
      <w:proofErr w:type="spellEnd"/>
      <w:r w:rsidRPr="00837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7ADB">
        <w:rPr>
          <w:rFonts w:ascii="Times New Roman" w:hAnsi="Times New Roman" w:cs="Times New Roman"/>
          <w:i/>
          <w:sz w:val="20"/>
          <w:szCs w:val="20"/>
        </w:rPr>
        <w:t>Neurol</w:t>
      </w:r>
      <w:proofErr w:type="spellEnd"/>
      <w:r w:rsidRPr="00837ADB">
        <w:rPr>
          <w:rFonts w:ascii="Times New Roman" w:hAnsi="Times New Roman" w:cs="Times New Roman"/>
          <w:i/>
          <w:sz w:val="20"/>
          <w:szCs w:val="20"/>
        </w:rPr>
        <w:t xml:space="preserve"> (Paris). 2023 Oct;179(8):831-843.</w:t>
      </w:r>
    </w:p>
    <w:p w:rsidR="00837ADB" w:rsidRDefault="00837ADB" w:rsidP="000E2BAA">
      <w:pPr>
        <w:rPr>
          <w:rFonts w:ascii="Times New Roman" w:hAnsi="Times New Roman" w:cs="Times New Roman"/>
        </w:rPr>
      </w:pPr>
    </w:p>
    <w:p w:rsidR="002E661D" w:rsidRPr="00837ADB" w:rsidRDefault="002E661D" w:rsidP="000E2BAA">
      <w:p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 xml:space="preserve">Przeciwciała </w:t>
      </w:r>
      <w:proofErr w:type="spellStart"/>
      <w:r w:rsidRPr="00837ADB">
        <w:rPr>
          <w:rFonts w:ascii="Times New Roman" w:hAnsi="Times New Roman" w:cs="Times New Roman"/>
        </w:rPr>
        <w:t>nodalne</w:t>
      </w:r>
      <w:proofErr w:type="spellEnd"/>
      <w:r w:rsidRPr="00837ADB">
        <w:rPr>
          <w:rFonts w:ascii="Times New Roman" w:hAnsi="Times New Roman" w:cs="Times New Roman"/>
        </w:rPr>
        <w:t xml:space="preserve"> wiążą się z białkami obecnymi bezpośrednio w węzłach </w:t>
      </w:r>
      <w:proofErr w:type="spellStart"/>
      <w:r w:rsidRPr="00837ADB">
        <w:rPr>
          <w:rFonts w:ascii="Times New Roman" w:hAnsi="Times New Roman" w:cs="Times New Roman"/>
        </w:rPr>
        <w:t>Ranviera</w:t>
      </w:r>
      <w:proofErr w:type="spellEnd"/>
      <w:r w:rsidRPr="00837ADB">
        <w:rPr>
          <w:rFonts w:ascii="Times New Roman" w:hAnsi="Times New Roman" w:cs="Times New Roman"/>
        </w:rPr>
        <w:t xml:space="preserve">, zaś </w:t>
      </w:r>
      <w:proofErr w:type="spellStart"/>
      <w:r w:rsidRPr="00837ADB">
        <w:rPr>
          <w:rFonts w:ascii="Times New Roman" w:hAnsi="Times New Roman" w:cs="Times New Roman"/>
        </w:rPr>
        <w:t>paranodalne</w:t>
      </w:r>
      <w:proofErr w:type="spellEnd"/>
      <w:r w:rsidRPr="00837ADB">
        <w:rPr>
          <w:rFonts w:ascii="Times New Roman" w:hAnsi="Times New Roman" w:cs="Times New Roman"/>
        </w:rPr>
        <w:t xml:space="preserve"> atakują antygeny występujące w okolicy </w:t>
      </w:r>
      <w:proofErr w:type="spellStart"/>
      <w:r w:rsidRPr="00837ADB">
        <w:rPr>
          <w:rFonts w:ascii="Times New Roman" w:hAnsi="Times New Roman" w:cs="Times New Roman"/>
        </w:rPr>
        <w:t>paranodal</w:t>
      </w:r>
      <w:r w:rsidR="00837ADB">
        <w:rPr>
          <w:rFonts w:ascii="Times New Roman" w:hAnsi="Times New Roman" w:cs="Times New Roman"/>
        </w:rPr>
        <w:t>nej</w:t>
      </w:r>
      <w:bookmarkStart w:id="0" w:name="_GoBack"/>
      <w:bookmarkEnd w:id="0"/>
      <w:proofErr w:type="spellEnd"/>
      <w:r w:rsidRPr="00837ADB">
        <w:rPr>
          <w:rFonts w:ascii="Times New Roman" w:hAnsi="Times New Roman" w:cs="Times New Roman"/>
        </w:rPr>
        <w:t>.</w:t>
      </w:r>
    </w:p>
    <w:p w:rsidR="00C91FE2" w:rsidRPr="00837ADB" w:rsidRDefault="002E661D" w:rsidP="000E2BAA">
      <w:p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 xml:space="preserve">Uszkodzenie osłonki mielinowej i węzłów </w:t>
      </w:r>
      <w:proofErr w:type="spellStart"/>
      <w:r w:rsidRPr="00837ADB">
        <w:rPr>
          <w:rFonts w:ascii="Times New Roman" w:hAnsi="Times New Roman" w:cs="Times New Roman"/>
        </w:rPr>
        <w:t>Ranviera</w:t>
      </w:r>
      <w:proofErr w:type="spellEnd"/>
      <w:r w:rsidRPr="00837ADB">
        <w:rPr>
          <w:rFonts w:ascii="Times New Roman" w:hAnsi="Times New Roman" w:cs="Times New Roman"/>
        </w:rPr>
        <w:t xml:space="preserve"> prowadzi do spowolnienia lub całkowitego bloku przewodnictwa nerwowego, co manifestuje się deficytami neurologicznymi charakterystycznymi dla tych schorzeń.</w:t>
      </w:r>
    </w:p>
    <w:p w:rsidR="00C91FE2" w:rsidRPr="00837ADB" w:rsidRDefault="00C91FE2" w:rsidP="000E2BAA">
      <w:pPr>
        <w:rPr>
          <w:rFonts w:ascii="Times New Roman" w:hAnsi="Times New Roman" w:cs="Times New Roman"/>
          <w:color w:val="000000"/>
          <w:spacing w:val="6"/>
        </w:rPr>
      </w:pPr>
      <w:r w:rsidRPr="00837ADB">
        <w:rPr>
          <w:rFonts w:ascii="Times New Roman" w:hAnsi="Times New Roman" w:cs="Times New Roman"/>
          <w:color w:val="000000"/>
          <w:spacing w:val="6"/>
        </w:rPr>
        <w:t xml:space="preserve">Zgodnie z wytycznymi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European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Academy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of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Neurology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/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Peripheral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Nerve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Society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(EAN/PNS, 2021) wykonanie testów w kierunku przeciwciał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nodalnych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i </w:t>
      </w:r>
      <w:proofErr w:type="spellStart"/>
      <w:r w:rsidRPr="00837ADB">
        <w:rPr>
          <w:rFonts w:ascii="Times New Roman" w:hAnsi="Times New Roman" w:cs="Times New Roman"/>
          <w:color w:val="000000"/>
          <w:spacing w:val="6"/>
        </w:rPr>
        <w:t>paranodalnych</w:t>
      </w:r>
      <w:proofErr w:type="spellEnd"/>
      <w:r w:rsidRPr="00837ADB">
        <w:rPr>
          <w:rFonts w:ascii="Times New Roman" w:hAnsi="Times New Roman" w:cs="Times New Roman"/>
          <w:color w:val="000000"/>
          <w:spacing w:val="6"/>
        </w:rPr>
        <w:t xml:space="preserve"> jest zalecane u chorych z podejrzeniem CIDP</w:t>
      </w:r>
      <w:r w:rsidR="00D74D88" w:rsidRPr="00837ADB">
        <w:rPr>
          <w:rFonts w:ascii="Times New Roman" w:hAnsi="Times New Roman" w:cs="Times New Roman"/>
          <w:color w:val="000000"/>
          <w:spacing w:val="6"/>
        </w:rPr>
        <w:t xml:space="preserve"> wykazujących:</w:t>
      </w:r>
    </w:p>
    <w:p w:rsidR="00C91FE2" w:rsidRPr="00837ADB" w:rsidRDefault="00C91FE2" w:rsidP="00C91FE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>oporność na standardową terapię dożylnymi immunoglobulinami i kortykosteroidami</w:t>
      </w:r>
    </w:p>
    <w:p w:rsidR="00C91FE2" w:rsidRPr="00837ADB" w:rsidRDefault="00C91FE2" w:rsidP="00C91FE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 xml:space="preserve">ostry lub podostry, agresywny początek, wcześniejsze rozpoznanie zespołu </w:t>
      </w:r>
      <w:proofErr w:type="spellStart"/>
      <w:r w:rsidRPr="00837ADB">
        <w:rPr>
          <w:rFonts w:ascii="Times New Roman" w:hAnsi="Times New Roman" w:cs="Times New Roman"/>
        </w:rPr>
        <w:t>Guillaina-Barrégo</w:t>
      </w:r>
      <w:proofErr w:type="spellEnd"/>
      <w:r w:rsidRPr="00837ADB">
        <w:rPr>
          <w:rFonts w:ascii="Times New Roman" w:hAnsi="Times New Roman" w:cs="Times New Roman"/>
        </w:rPr>
        <w:t xml:space="preserve"> (GBS, ang. </w:t>
      </w:r>
      <w:proofErr w:type="spellStart"/>
      <w:r w:rsidRPr="00837ADB">
        <w:rPr>
          <w:rFonts w:ascii="Times New Roman" w:hAnsi="Times New Roman" w:cs="Times New Roman"/>
          <w:i/>
        </w:rPr>
        <w:t>Guillain-Barré</w:t>
      </w:r>
      <w:proofErr w:type="spellEnd"/>
      <w:r w:rsidRPr="00837ADB">
        <w:rPr>
          <w:rFonts w:ascii="Times New Roman" w:hAnsi="Times New Roman" w:cs="Times New Roman"/>
          <w:i/>
        </w:rPr>
        <w:t xml:space="preserve"> </w:t>
      </w:r>
      <w:proofErr w:type="spellStart"/>
      <w:r w:rsidRPr="00837ADB">
        <w:rPr>
          <w:rFonts w:ascii="Times New Roman" w:hAnsi="Times New Roman" w:cs="Times New Roman"/>
          <w:i/>
        </w:rPr>
        <w:t>syndrome</w:t>
      </w:r>
      <w:proofErr w:type="spellEnd"/>
      <w:r w:rsidRPr="00837ADB">
        <w:rPr>
          <w:rFonts w:ascii="Times New Roman" w:hAnsi="Times New Roman" w:cs="Times New Roman"/>
        </w:rPr>
        <w:t xml:space="preserve">) lub CIDP o ostrym początku (A-CIDP, ang. </w:t>
      </w:r>
      <w:proofErr w:type="spellStart"/>
      <w:r w:rsidRPr="00837ADB">
        <w:rPr>
          <w:rFonts w:ascii="Times New Roman" w:hAnsi="Times New Roman" w:cs="Times New Roman"/>
          <w:i/>
        </w:rPr>
        <w:t>acute-onset</w:t>
      </w:r>
      <w:proofErr w:type="spellEnd"/>
      <w:r w:rsidRPr="00837ADB">
        <w:rPr>
          <w:rFonts w:ascii="Times New Roman" w:hAnsi="Times New Roman" w:cs="Times New Roman"/>
          <w:i/>
        </w:rPr>
        <w:t xml:space="preserve"> </w:t>
      </w:r>
      <w:proofErr w:type="spellStart"/>
      <w:r w:rsidRPr="00837ADB">
        <w:rPr>
          <w:rFonts w:ascii="Times New Roman" w:hAnsi="Times New Roman" w:cs="Times New Roman"/>
          <w:i/>
        </w:rPr>
        <w:t>chronic</w:t>
      </w:r>
      <w:proofErr w:type="spellEnd"/>
      <w:r w:rsidRPr="00837ADB">
        <w:rPr>
          <w:rFonts w:ascii="Times New Roman" w:hAnsi="Times New Roman" w:cs="Times New Roman"/>
          <w:i/>
        </w:rPr>
        <w:t xml:space="preserve"> </w:t>
      </w:r>
      <w:proofErr w:type="spellStart"/>
      <w:r w:rsidRPr="00837ADB">
        <w:rPr>
          <w:rFonts w:ascii="Times New Roman" w:hAnsi="Times New Roman" w:cs="Times New Roman"/>
          <w:i/>
        </w:rPr>
        <w:t>inflammatory</w:t>
      </w:r>
      <w:proofErr w:type="spellEnd"/>
      <w:r w:rsidRPr="00837ADB">
        <w:rPr>
          <w:rFonts w:ascii="Times New Roman" w:hAnsi="Times New Roman" w:cs="Times New Roman"/>
          <w:i/>
        </w:rPr>
        <w:t xml:space="preserve"> </w:t>
      </w:r>
      <w:proofErr w:type="spellStart"/>
      <w:r w:rsidRPr="00837ADB">
        <w:rPr>
          <w:rFonts w:ascii="Times New Roman" w:hAnsi="Times New Roman" w:cs="Times New Roman"/>
          <w:i/>
        </w:rPr>
        <w:t>demyelinating</w:t>
      </w:r>
      <w:proofErr w:type="spellEnd"/>
      <w:r w:rsidRPr="00837ADB">
        <w:rPr>
          <w:rFonts w:ascii="Times New Roman" w:hAnsi="Times New Roman" w:cs="Times New Roman"/>
          <w:i/>
        </w:rPr>
        <w:t xml:space="preserve"> </w:t>
      </w:r>
      <w:proofErr w:type="spellStart"/>
      <w:r w:rsidRPr="00837ADB">
        <w:rPr>
          <w:rFonts w:ascii="Times New Roman" w:hAnsi="Times New Roman" w:cs="Times New Roman"/>
          <w:i/>
        </w:rPr>
        <w:t>polyneuropathy</w:t>
      </w:r>
      <w:proofErr w:type="spellEnd"/>
      <w:r w:rsidRPr="00837ADB">
        <w:rPr>
          <w:rFonts w:ascii="Times New Roman" w:hAnsi="Times New Roman" w:cs="Times New Roman"/>
        </w:rPr>
        <w:t>)</w:t>
      </w:r>
    </w:p>
    <w:p w:rsidR="00D74D88" w:rsidRPr="00837ADB" w:rsidRDefault="00D74D88" w:rsidP="00D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>drżenie o niskiej częstotliwości, ataksja nieproporcjonalna do zajęcia nerwów czuciowych lub inne objawy móżdżkowe albo przewaga osłabienia dystalnego,</w:t>
      </w:r>
    </w:p>
    <w:p w:rsidR="00D74D88" w:rsidRPr="00837ADB" w:rsidRDefault="00D74D88" w:rsidP="00D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>niewydolność oddechowa i zajęcie nerwów czaszkowych,</w:t>
      </w:r>
    </w:p>
    <w:p w:rsidR="00D74D88" w:rsidRPr="00837ADB" w:rsidRDefault="00D74D88" w:rsidP="00D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>towarzyszący zespół nerczycowy,</w:t>
      </w:r>
    </w:p>
    <w:p w:rsidR="00837ADB" w:rsidRPr="00837ADB" w:rsidRDefault="00D74D88" w:rsidP="00837AD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37ADB">
        <w:rPr>
          <w:rFonts w:ascii="Times New Roman" w:hAnsi="Times New Roman" w:cs="Times New Roman"/>
        </w:rPr>
        <w:t>bardzo wysokie stężenie białka w płynie mózgowo-rdzeniowym.</w:t>
      </w:r>
    </w:p>
    <w:p w:rsidR="0000671E" w:rsidRPr="00837ADB" w:rsidRDefault="0000671E" w:rsidP="000067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37ADB">
        <w:rPr>
          <w:rFonts w:ascii="Times New Roman" w:eastAsia="Times New Roman" w:hAnsi="Times New Roman" w:cs="Times New Roman"/>
          <w:lang w:val="en-US"/>
        </w:rPr>
        <w:t xml:space="preserve">Van den Bergh, Peter YK, et al. „European Academy of Neurology/Peripheral Nerve Society guideline on diagnosis and treatment of chronic inflammatory demyelinating </w:t>
      </w:r>
      <w:proofErr w:type="spellStart"/>
      <w:r w:rsidRPr="00837ADB">
        <w:rPr>
          <w:rFonts w:ascii="Times New Roman" w:eastAsia="Times New Roman" w:hAnsi="Times New Roman" w:cs="Times New Roman"/>
          <w:lang w:val="en-US"/>
        </w:rPr>
        <w:t>polyradiculoneuropathy</w:t>
      </w:r>
      <w:proofErr w:type="spellEnd"/>
      <w:r w:rsidRPr="00837ADB">
        <w:rPr>
          <w:rFonts w:ascii="Times New Roman" w:eastAsia="Times New Roman" w:hAnsi="Times New Roman" w:cs="Times New Roman"/>
          <w:lang w:val="en-US"/>
        </w:rPr>
        <w:t xml:space="preserve">: Report of a joint Task Force—Second revision.” </w:t>
      </w:r>
      <w:proofErr w:type="spellStart"/>
      <w:r w:rsidRPr="00837ADB">
        <w:rPr>
          <w:rFonts w:ascii="Times New Roman" w:eastAsia="Times New Roman" w:hAnsi="Times New Roman" w:cs="Times New Roman"/>
        </w:rPr>
        <w:t>Journal</w:t>
      </w:r>
      <w:proofErr w:type="spellEnd"/>
      <w:r w:rsidRPr="00837ADB">
        <w:rPr>
          <w:rFonts w:ascii="Times New Roman" w:eastAsia="Times New Roman" w:hAnsi="Times New Roman" w:cs="Times New Roman"/>
        </w:rPr>
        <w:t xml:space="preserve"> of the </w:t>
      </w:r>
      <w:proofErr w:type="spellStart"/>
      <w:r w:rsidRPr="00837ADB">
        <w:rPr>
          <w:rFonts w:ascii="Times New Roman" w:eastAsia="Times New Roman" w:hAnsi="Times New Roman" w:cs="Times New Roman"/>
        </w:rPr>
        <w:t>Peripheral</w:t>
      </w:r>
      <w:proofErr w:type="spellEnd"/>
      <w:r w:rsidRPr="00837AD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37ADB">
        <w:rPr>
          <w:rFonts w:ascii="Times New Roman" w:eastAsia="Times New Roman" w:hAnsi="Times New Roman" w:cs="Times New Roman"/>
        </w:rPr>
        <w:t>Nervous</w:t>
      </w:r>
      <w:proofErr w:type="spellEnd"/>
      <w:r w:rsidRPr="00837ADB">
        <w:rPr>
          <w:rFonts w:ascii="Times New Roman" w:eastAsia="Times New Roman" w:hAnsi="Times New Roman" w:cs="Times New Roman"/>
        </w:rPr>
        <w:t xml:space="preserve"> System 26.3 (2021): 242-268.</w:t>
      </w:r>
    </w:p>
    <w:sectPr w:rsidR="0000671E" w:rsidRPr="00837ADB" w:rsidSect="00D74D8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5502F"/>
    <w:multiLevelType w:val="hybridMultilevel"/>
    <w:tmpl w:val="E4C03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1CE"/>
    <w:rsid w:val="0000671E"/>
    <w:rsid w:val="000E2BAA"/>
    <w:rsid w:val="002B2329"/>
    <w:rsid w:val="002E661D"/>
    <w:rsid w:val="002E7248"/>
    <w:rsid w:val="00837ADB"/>
    <w:rsid w:val="00A5022E"/>
    <w:rsid w:val="00B55574"/>
    <w:rsid w:val="00C91FE2"/>
    <w:rsid w:val="00D74D88"/>
    <w:rsid w:val="00EB69D3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0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2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91F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0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2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91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Palejko</dc:creator>
  <cp:keywords/>
  <dc:description/>
  <cp:lastModifiedBy>Anna Palejko</cp:lastModifiedBy>
  <cp:revision>9</cp:revision>
  <dcterms:created xsi:type="dcterms:W3CDTF">2026-08-13T08:34:00Z</dcterms:created>
  <dcterms:modified xsi:type="dcterms:W3CDTF">2026-08-13T09:15:00Z</dcterms:modified>
</cp:coreProperties>
</file>