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BADANIE W KIERUNKU OBECNOŚCI PRZECIWCIAŁ </w:t>
      </w:r>
      <w:r w:rsidR="00FB7E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D036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NODALNYCH I PARANODALNYCH (CIDP)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__________________________________________________</w:t>
      </w:r>
    </w:p>
    <w:p w:rsidR="0074420B" w:rsidRDefault="0074420B" w:rsidP="0074420B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D3378C" w:rsidRPr="00D3378C" w:rsidRDefault="0074420B" w:rsidP="00D3378C">
      <w:pPr>
        <w:pStyle w:val="style4"/>
        <w:numPr>
          <w:ilvl w:val="0"/>
          <w:numId w:val="2"/>
        </w:numPr>
        <w:rPr>
          <w:rStyle w:val="Pogrubienie"/>
          <w:b w:val="0"/>
          <w:bCs w:val="0"/>
        </w:rPr>
      </w:pPr>
      <w:r>
        <w:t xml:space="preserve">Surowica: 2 ml lub krew pobrana „na skrzep”: ok. 3-5 ml </w:t>
      </w:r>
    </w:p>
    <w:p w:rsidR="0074420B" w:rsidRDefault="0074420B" w:rsidP="00744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74420B" w:rsidRDefault="0074420B" w:rsidP="007442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74420B" w:rsidRDefault="0074420B" w:rsidP="0074420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74420B" w:rsidRDefault="0074420B" w:rsidP="0074420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74420B" w:rsidRDefault="0074420B" w:rsidP="00744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420B" w:rsidRDefault="0074420B" w:rsidP="007442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D3378C">
        <w:rPr>
          <w:rFonts w:ascii="Times New Roman" w:hAnsi="Times New Roman" w:cs="Times New Roman"/>
          <w:sz w:val="24"/>
          <w:szCs w:val="24"/>
          <w:u w:val="single"/>
        </w:rPr>
        <w:t>urowica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4420B" w:rsidRDefault="0074420B" w:rsidP="0074420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74420B" w:rsidRDefault="0074420B" w:rsidP="0074420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74420B" w:rsidRDefault="0074420B" w:rsidP="0074420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74420B" w:rsidRDefault="0074420B" w:rsidP="0074420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74420B" w:rsidRDefault="0074420B" w:rsidP="00744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74420B" w:rsidRDefault="0074420B" w:rsidP="0074420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74420B" w:rsidRPr="007B5E94" w:rsidRDefault="0074420B" w:rsidP="0074420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4420B" w:rsidRDefault="0074420B" w:rsidP="007442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74420B" w:rsidRDefault="0074420B" w:rsidP="0074420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74420B" w:rsidRDefault="0074420B" w:rsidP="0074420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74420B" w:rsidRPr="007B5E94" w:rsidRDefault="0074420B" w:rsidP="0074420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:rsidR="00D036F4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wykonania badań:</w:t>
      </w:r>
      <w:r w:rsidR="00D036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66F10">
        <w:rPr>
          <w:rFonts w:ascii="Times New Roman" w:eastAsia="Times New Roman" w:hAnsi="Times New Roman" w:cs="Times New Roman"/>
          <w:sz w:val="24"/>
          <w:szCs w:val="24"/>
          <w:lang w:eastAsia="pl-PL"/>
        </w:rPr>
        <w:t>295 zł</w:t>
      </w:r>
      <w:bookmarkStart w:id="0" w:name="_GoBack"/>
      <w:bookmarkEnd w:id="0"/>
    </w:p>
    <w:p w:rsidR="004B623A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test </w:t>
      </w:r>
      <w:r w:rsidR="00744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immunofluorescencji pośredniej z wykorzystaniem komórek </w:t>
      </w:r>
      <w:proofErr w:type="spellStart"/>
      <w:r w:rsidR="0074420B">
        <w:rPr>
          <w:rFonts w:ascii="Times New Roman" w:eastAsia="Times New Roman" w:hAnsi="Times New Roman" w:cs="Times New Roman"/>
          <w:sz w:val="24"/>
          <w:szCs w:val="24"/>
          <w:lang w:eastAsia="pl-PL"/>
        </w:rPr>
        <w:t>transfekowanych</w:t>
      </w:r>
      <w:proofErr w:type="spellEnd"/>
      <w:r w:rsidR="00744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(tzw. </w:t>
      </w:r>
      <w:r w:rsidR="0074420B"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Cell </w:t>
      </w:r>
      <w:proofErr w:type="spellStart"/>
      <w:r w:rsidR="0074420B"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Based</w:t>
      </w:r>
      <w:proofErr w:type="spellEnd"/>
      <w:r w:rsidR="0074420B"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="0074420B"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Assay</w:t>
      </w:r>
      <w:proofErr w:type="spellEnd"/>
      <w:r w:rsidR="00744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CBA)</w:t>
      </w:r>
    </w:p>
    <w:p w:rsidR="00D036F4" w:rsidRPr="00592286" w:rsidRDefault="00D036F4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Badanie obejmuje oznaczenie obecności przeciwciał przeciwko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neurofascynie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155 (NF155),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neurofascynie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186 (NF186),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kontaktynie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(CNTN1) i białku związanemu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kontaktyną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(CASPR1).</w:t>
      </w:r>
    </w:p>
    <w:p w:rsidR="004B623A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 się na podstawie obrazu preparatu ocenianego pod mikroskopem w świetle fluorescencyjnym </w:t>
      </w:r>
    </w:p>
    <w:p w:rsidR="00DA0900" w:rsidRDefault="00F37951" w:rsidP="00F3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oceniane jest w systemie plus/minus. W przypadku wyników dodatnich określane jest miano przeciwciał, czyli ostatnie rozcieńczenie badanego materiału przy którym obserwowana jest fluorescencja.</w:t>
      </w:r>
    </w:p>
    <w:p w:rsidR="008360EF" w:rsidRPr="002B1B44" w:rsidRDefault="008360EF" w:rsidP="00F3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Van den Bergh, Peter YK, et al. „European Academy of Neurology/Peripheral Nerve Society guideline on diagnosis and treatment of chronic inflammatory demyelinating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polyradiculoneuropathy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Report of a joint Task Force—Second revision.”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Peripheral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Nervous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System 26.3 (2021): 242-268.</w:t>
      </w:r>
    </w:p>
    <w:sectPr w:rsidR="008360EF" w:rsidRPr="002B1B44" w:rsidSect="00D036F4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84111D"/>
    <w:multiLevelType w:val="hybridMultilevel"/>
    <w:tmpl w:val="4D842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623A"/>
    <w:rsid w:val="000747A1"/>
    <w:rsid w:val="000D254F"/>
    <w:rsid w:val="00166F10"/>
    <w:rsid w:val="002B1B44"/>
    <w:rsid w:val="004B623A"/>
    <w:rsid w:val="00571C35"/>
    <w:rsid w:val="006F58F3"/>
    <w:rsid w:val="0074420B"/>
    <w:rsid w:val="0078717C"/>
    <w:rsid w:val="008360EF"/>
    <w:rsid w:val="008566A5"/>
    <w:rsid w:val="00B53231"/>
    <w:rsid w:val="00C2590B"/>
    <w:rsid w:val="00D036F4"/>
    <w:rsid w:val="00D3378C"/>
    <w:rsid w:val="00DA0900"/>
    <w:rsid w:val="00E72B23"/>
    <w:rsid w:val="00E77094"/>
    <w:rsid w:val="00F37951"/>
    <w:rsid w:val="00FB7ED3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6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36F4"/>
    <w:pPr>
      <w:ind w:left="720"/>
      <w:contextualSpacing/>
    </w:pPr>
  </w:style>
  <w:style w:type="paragraph" w:customStyle="1" w:styleId="style4">
    <w:name w:val="style4"/>
    <w:basedOn w:val="Normalny"/>
    <w:rsid w:val="00744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42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4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18</cp:revision>
  <dcterms:created xsi:type="dcterms:W3CDTF">2015-04-21T07:10:00Z</dcterms:created>
  <dcterms:modified xsi:type="dcterms:W3CDTF">2026-08-12T08:41:00Z</dcterms:modified>
</cp:coreProperties>
</file>