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9F8" w:rsidRPr="00766DA3" w:rsidRDefault="006519F8" w:rsidP="00F74952">
      <w:pPr>
        <w:jc w:val="both"/>
        <w:rPr>
          <w:rFonts w:ascii="Times New Roman" w:hAnsi="Times New Roman" w:cs="Times New Roman"/>
          <w:color w:val="000000"/>
          <w:spacing w:val="6"/>
        </w:rPr>
      </w:pPr>
      <w:r w:rsidRPr="00766DA3">
        <w:rPr>
          <w:rFonts w:ascii="Times New Roman" w:hAnsi="Times New Roman" w:cs="Times New Roman"/>
          <w:color w:val="000000"/>
          <w:spacing w:val="6"/>
        </w:rPr>
        <w:t xml:space="preserve">Glikoproteina związana z </w:t>
      </w:r>
      <w:proofErr w:type="spellStart"/>
      <w:r w:rsidRPr="00766DA3">
        <w:rPr>
          <w:rFonts w:ascii="Times New Roman" w:hAnsi="Times New Roman" w:cs="Times New Roman"/>
          <w:color w:val="000000"/>
          <w:spacing w:val="6"/>
        </w:rPr>
        <w:t>mieliną</w:t>
      </w:r>
      <w:proofErr w:type="spellEnd"/>
      <w:r w:rsidRPr="00766DA3">
        <w:rPr>
          <w:rFonts w:ascii="Times New Roman" w:hAnsi="Times New Roman" w:cs="Times New Roman"/>
          <w:color w:val="000000"/>
          <w:spacing w:val="6"/>
        </w:rPr>
        <w:t xml:space="preserve"> (MAG) pełni kluczową rolę w stabilizacji osłonek mielinowych w nerwach obwodowych. Atak autoprzeciwciał </w:t>
      </w:r>
      <w:proofErr w:type="spellStart"/>
      <w:r w:rsidRPr="00766DA3">
        <w:rPr>
          <w:rFonts w:ascii="Times New Roman" w:hAnsi="Times New Roman" w:cs="Times New Roman"/>
          <w:color w:val="000000"/>
          <w:spacing w:val="6"/>
        </w:rPr>
        <w:t>IgM</w:t>
      </w:r>
      <w:proofErr w:type="spellEnd"/>
      <w:r w:rsidRPr="00766DA3">
        <w:rPr>
          <w:rFonts w:ascii="Times New Roman" w:hAnsi="Times New Roman" w:cs="Times New Roman"/>
          <w:color w:val="000000"/>
          <w:spacing w:val="6"/>
        </w:rPr>
        <w:t xml:space="preserve"> prowadzi do uszkodzenia warstwy mielinowej i w konsekwencji do poważnego upośledzenia przewodzenia bodźców nerwowych.</w:t>
      </w:r>
    </w:p>
    <w:p w:rsidR="006519F8" w:rsidRPr="00766DA3" w:rsidRDefault="006519F8" w:rsidP="00F74952">
      <w:pPr>
        <w:jc w:val="both"/>
        <w:rPr>
          <w:rFonts w:ascii="Times New Roman" w:hAnsi="Times New Roman" w:cs="Times New Roman"/>
          <w:color w:val="000000"/>
          <w:spacing w:val="6"/>
        </w:rPr>
      </w:pPr>
      <w:r w:rsidRPr="00766DA3">
        <w:rPr>
          <w:rFonts w:ascii="Times New Roman" w:hAnsi="Times New Roman" w:cs="Times New Roman"/>
          <w:color w:val="000000"/>
          <w:spacing w:val="6"/>
        </w:rPr>
        <w:t xml:space="preserve">Neuropatie związane z </w:t>
      </w:r>
      <w:proofErr w:type="spellStart"/>
      <w:r w:rsidRPr="00766DA3">
        <w:rPr>
          <w:rFonts w:ascii="Times New Roman" w:hAnsi="Times New Roman" w:cs="Times New Roman"/>
          <w:color w:val="000000"/>
          <w:spacing w:val="6"/>
        </w:rPr>
        <w:t>gammapatią</w:t>
      </w:r>
      <w:proofErr w:type="spellEnd"/>
      <w:r w:rsidRPr="00766DA3">
        <w:rPr>
          <w:rFonts w:ascii="Times New Roman" w:hAnsi="Times New Roman" w:cs="Times New Roman"/>
          <w:color w:val="000000"/>
          <w:spacing w:val="6"/>
        </w:rPr>
        <w:t xml:space="preserve"> </w:t>
      </w:r>
      <w:proofErr w:type="spellStart"/>
      <w:r w:rsidRPr="00766DA3">
        <w:rPr>
          <w:rFonts w:ascii="Times New Roman" w:hAnsi="Times New Roman" w:cs="Times New Roman"/>
          <w:color w:val="000000"/>
          <w:spacing w:val="6"/>
        </w:rPr>
        <w:t>IgM</w:t>
      </w:r>
      <w:proofErr w:type="spellEnd"/>
      <w:r w:rsidRPr="00766DA3">
        <w:rPr>
          <w:rFonts w:ascii="Times New Roman" w:hAnsi="Times New Roman" w:cs="Times New Roman"/>
          <w:color w:val="000000"/>
          <w:spacing w:val="6"/>
        </w:rPr>
        <w:t xml:space="preserve"> stanowią wyzwanie diagnostyczne – mogą przypominać inne neuropatie demielinizacyjne, jednocześnie różniąc się od nich przebiegiem </w:t>
      </w:r>
      <w:r w:rsidR="00766DA3">
        <w:rPr>
          <w:rFonts w:ascii="Times New Roman" w:hAnsi="Times New Roman" w:cs="Times New Roman"/>
          <w:color w:val="000000"/>
          <w:spacing w:val="6"/>
        </w:rPr>
        <w:br/>
      </w:r>
      <w:r w:rsidRPr="00766DA3">
        <w:rPr>
          <w:rFonts w:ascii="Times New Roman" w:hAnsi="Times New Roman" w:cs="Times New Roman"/>
          <w:color w:val="000000"/>
          <w:spacing w:val="6"/>
        </w:rPr>
        <w:t>i reakcją na leczenie.</w:t>
      </w:r>
    </w:p>
    <w:p w:rsidR="006519F8" w:rsidRPr="00766DA3" w:rsidRDefault="0046763F" w:rsidP="00F74952">
      <w:pPr>
        <w:jc w:val="both"/>
        <w:rPr>
          <w:rFonts w:ascii="Times New Roman" w:hAnsi="Times New Roman" w:cs="Times New Roman"/>
          <w:color w:val="000000"/>
          <w:spacing w:val="6"/>
        </w:rPr>
      </w:pPr>
      <w:r w:rsidRPr="00766DA3">
        <w:rPr>
          <w:rFonts w:ascii="Times New Roman" w:hAnsi="Times New Roman" w:cs="Times New Roman"/>
          <w:color w:val="000000"/>
          <w:spacing w:val="6"/>
        </w:rPr>
        <w:t>Neuropatia anty-MAG jest obecnie traktowana</w:t>
      </w:r>
      <w:r w:rsidR="006519F8" w:rsidRPr="00766DA3">
        <w:rPr>
          <w:rFonts w:ascii="Times New Roman" w:hAnsi="Times New Roman" w:cs="Times New Roman"/>
          <w:color w:val="000000"/>
          <w:spacing w:val="6"/>
        </w:rPr>
        <w:t xml:space="preserve"> jako odrębna jednostka chorobowa. Zgodnie </w:t>
      </w:r>
      <w:r w:rsidR="00766DA3">
        <w:rPr>
          <w:rFonts w:ascii="Times New Roman" w:hAnsi="Times New Roman" w:cs="Times New Roman"/>
          <w:color w:val="000000"/>
          <w:spacing w:val="6"/>
        </w:rPr>
        <w:br/>
      </w:r>
      <w:r w:rsidR="006519F8" w:rsidRPr="00766DA3">
        <w:rPr>
          <w:rFonts w:ascii="Times New Roman" w:hAnsi="Times New Roman" w:cs="Times New Roman"/>
          <w:color w:val="000000"/>
          <w:spacing w:val="6"/>
        </w:rPr>
        <w:t xml:space="preserve">z wytycznymi </w:t>
      </w:r>
      <w:proofErr w:type="spellStart"/>
      <w:r w:rsidR="006519F8" w:rsidRPr="00766DA3">
        <w:rPr>
          <w:rFonts w:ascii="Times New Roman" w:hAnsi="Times New Roman" w:cs="Times New Roman"/>
          <w:color w:val="000000"/>
          <w:spacing w:val="6"/>
        </w:rPr>
        <w:t>European</w:t>
      </w:r>
      <w:proofErr w:type="spellEnd"/>
      <w:r w:rsidR="006519F8" w:rsidRPr="00766DA3">
        <w:rPr>
          <w:rFonts w:ascii="Times New Roman" w:hAnsi="Times New Roman" w:cs="Times New Roman"/>
          <w:color w:val="000000"/>
          <w:spacing w:val="6"/>
        </w:rPr>
        <w:t xml:space="preserve"> </w:t>
      </w:r>
      <w:proofErr w:type="spellStart"/>
      <w:r w:rsidR="006519F8" w:rsidRPr="00766DA3">
        <w:rPr>
          <w:rFonts w:ascii="Times New Roman" w:hAnsi="Times New Roman" w:cs="Times New Roman"/>
          <w:color w:val="000000"/>
          <w:spacing w:val="6"/>
        </w:rPr>
        <w:t>Academy</w:t>
      </w:r>
      <w:proofErr w:type="spellEnd"/>
      <w:r w:rsidR="006519F8" w:rsidRPr="00766DA3">
        <w:rPr>
          <w:rFonts w:ascii="Times New Roman" w:hAnsi="Times New Roman" w:cs="Times New Roman"/>
          <w:color w:val="000000"/>
          <w:spacing w:val="6"/>
        </w:rPr>
        <w:t xml:space="preserve"> of </w:t>
      </w:r>
      <w:proofErr w:type="spellStart"/>
      <w:r w:rsidR="006519F8" w:rsidRPr="00766DA3">
        <w:rPr>
          <w:rFonts w:ascii="Times New Roman" w:hAnsi="Times New Roman" w:cs="Times New Roman"/>
          <w:color w:val="000000"/>
          <w:spacing w:val="6"/>
        </w:rPr>
        <w:t>Neurology</w:t>
      </w:r>
      <w:proofErr w:type="spellEnd"/>
      <w:r w:rsidR="006519F8" w:rsidRPr="00766DA3">
        <w:rPr>
          <w:rFonts w:ascii="Times New Roman" w:hAnsi="Times New Roman" w:cs="Times New Roman"/>
          <w:color w:val="000000"/>
          <w:spacing w:val="6"/>
        </w:rPr>
        <w:t xml:space="preserve"> / </w:t>
      </w:r>
      <w:proofErr w:type="spellStart"/>
      <w:r w:rsidR="006519F8" w:rsidRPr="00766DA3">
        <w:rPr>
          <w:rFonts w:ascii="Times New Roman" w:hAnsi="Times New Roman" w:cs="Times New Roman"/>
          <w:color w:val="000000"/>
          <w:spacing w:val="6"/>
        </w:rPr>
        <w:t>Peripheral</w:t>
      </w:r>
      <w:proofErr w:type="spellEnd"/>
      <w:r w:rsidR="006519F8" w:rsidRPr="00766DA3">
        <w:rPr>
          <w:rFonts w:ascii="Times New Roman" w:hAnsi="Times New Roman" w:cs="Times New Roman"/>
          <w:color w:val="000000"/>
          <w:spacing w:val="6"/>
        </w:rPr>
        <w:t xml:space="preserve"> </w:t>
      </w:r>
      <w:proofErr w:type="spellStart"/>
      <w:r w:rsidR="006519F8" w:rsidRPr="00766DA3">
        <w:rPr>
          <w:rFonts w:ascii="Times New Roman" w:hAnsi="Times New Roman" w:cs="Times New Roman"/>
          <w:color w:val="000000"/>
          <w:spacing w:val="6"/>
        </w:rPr>
        <w:t>Nerve</w:t>
      </w:r>
      <w:proofErr w:type="spellEnd"/>
      <w:r w:rsidR="006519F8" w:rsidRPr="00766DA3">
        <w:rPr>
          <w:rFonts w:ascii="Times New Roman" w:hAnsi="Times New Roman" w:cs="Times New Roman"/>
          <w:color w:val="000000"/>
          <w:spacing w:val="6"/>
        </w:rPr>
        <w:t xml:space="preserve"> </w:t>
      </w:r>
      <w:proofErr w:type="spellStart"/>
      <w:r w:rsidR="006519F8" w:rsidRPr="00766DA3">
        <w:rPr>
          <w:rFonts w:ascii="Times New Roman" w:hAnsi="Times New Roman" w:cs="Times New Roman"/>
          <w:color w:val="000000"/>
          <w:spacing w:val="6"/>
        </w:rPr>
        <w:t>Society</w:t>
      </w:r>
      <w:proofErr w:type="spellEnd"/>
      <w:r w:rsidR="006519F8" w:rsidRPr="00766DA3">
        <w:rPr>
          <w:rFonts w:ascii="Times New Roman" w:hAnsi="Times New Roman" w:cs="Times New Roman"/>
          <w:color w:val="000000"/>
          <w:spacing w:val="6"/>
        </w:rPr>
        <w:t xml:space="preserve"> (EAN/PNS, 2021) oznaczenie przeciwciał anty-MAG jest szczególnie istotne u pacjentów z paraproteinemią </w:t>
      </w:r>
      <w:proofErr w:type="spellStart"/>
      <w:r w:rsidR="006519F8" w:rsidRPr="00766DA3">
        <w:rPr>
          <w:rFonts w:ascii="Times New Roman" w:hAnsi="Times New Roman" w:cs="Times New Roman"/>
          <w:color w:val="000000"/>
          <w:spacing w:val="6"/>
        </w:rPr>
        <w:t>IgM</w:t>
      </w:r>
      <w:proofErr w:type="spellEnd"/>
      <w:r w:rsidR="006519F8" w:rsidRPr="00766DA3">
        <w:rPr>
          <w:rFonts w:ascii="Times New Roman" w:hAnsi="Times New Roman" w:cs="Times New Roman"/>
          <w:color w:val="000000"/>
          <w:spacing w:val="6"/>
        </w:rPr>
        <w:t>, którzy spełniają kryteria diagnostyczne CIDP. Wynika to z faktu, że neuropatia anty-MAG może klinicznie przypominać CIDP, jednak różni się patomechanizmem, dynamiką choroby oraz odpowiedzią na leczenie.</w:t>
      </w:r>
    </w:p>
    <w:p w:rsidR="006519F8" w:rsidRPr="00766DA3" w:rsidRDefault="006519F8" w:rsidP="00F74952">
      <w:pPr>
        <w:jc w:val="both"/>
        <w:rPr>
          <w:rFonts w:ascii="Times New Roman" w:hAnsi="Times New Roman" w:cs="Times New Roman"/>
          <w:color w:val="000000"/>
          <w:spacing w:val="6"/>
        </w:rPr>
      </w:pPr>
      <w:r w:rsidRPr="00766DA3">
        <w:rPr>
          <w:rFonts w:ascii="Times New Roman" w:hAnsi="Times New Roman" w:cs="Times New Roman"/>
          <w:color w:val="000000"/>
          <w:spacing w:val="6"/>
        </w:rPr>
        <w:t xml:space="preserve">U pacjentów z dystalnymi wariantami CIDP należy oznaczyć </w:t>
      </w:r>
      <w:proofErr w:type="spellStart"/>
      <w:r w:rsidRPr="00766DA3">
        <w:rPr>
          <w:rFonts w:ascii="Times New Roman" w:hAnsi="Times New Roman" w:cs="Times New Roman"/>
          <w:color w:val="000000"/>
          <w:spacing w:val="6"/>
        </w:rPr>
        <w:t>paraproteinę</w:t>
      </w:r>
      <w:proofErr w:type="spellEnd"/>
      <w:r w:rsidRPr="00766DA3">
        <w:rPr>
          <w:rFonts w:ascii="Times New Roman" w:hAnsi="Times New Roman" w:cs="Times New Roman"/>
          <w:color w:val="000000"/>
          <w:spacing w:val="6"/>
        </w:rPr>
        <w:t xml:space="preserve"> </w:t>
      </w:r>
      <w:proofErr w:type="spellStart"/>
      <w:r w:rsidRPr="00766DA3">
        <w:rPr>
          <w:rFonts w:ascii="Times New Roman" w:hAnsi="Times New Roman" w:cs="Times New Roman"/>
          <w:color w:val="000000"/>
          <w:spacing w:val="6"/>
        </w:rPr>
        <w:t>IgM</w:t>
      </w:r>
      <w:proofErr w:type="spellEnd"/>
      <w:r w:rsidRPr="00766DA3">
        <w:rPr>
          <w:rFonts w:ascii="Times New Roman" w:hAnsi="Times New Roman" w:cs="Times New Roman"/>
          <w:color w:val="000000"/>
          <w:spacing w:val="6"/>
        </w:rPr>
        <w:t>.</w:t>
      </w:r>
    </w:p>
    <w:p w:rsidR="006519F8" w:rsidRPr="00766DA3" w:rsidRDefault="001C46AA" w:rsidP="00F74952">
      <w:pPr>
        <w:jc w:val="both"/>
        <w:rPr>
          <w:rFonts w:ascii="Times New Roman" w:hAnsi="Times New Roman" w:cs="Times New Roman"/>
          <w:color w:val="000000"/>
          <w:spacing w:val="6"/>
        </w:rPr>
      </w:pPr>
      <w:r w:rsidRPr="00766DA3">
        <w:rPr>
          <w:rFonts w:ascii="Times New Roman" w:hAnsi="Times New Roman" w:cs="Times New Roman"/>
          <w:color w:val="000000"/>
          <w:spacing w:val="6"/>
        </w:rPr>
        <w:t xml:space="preserve">Neuropatie </w:t>
      </w:r>
      <w:proofErr w:type="spellStart"/>
      <w:r w:rsidRPr="00766DA3">
        <w:rPr>
          <w:rFonts w:ascii="Times New Roman" w:hAnsi="Times New Roman" w:cs="Times New Roman"/>
          <w:color w:val="000000"/>
          <w:spacing w:val="6"/>
        </w:rPr>
        <w:t>IgM</w:t>
      </w:r>
      <w:proofErr w:type="spellEnd"/>
      <w:r w:rsidRPr="00766DA3">
        <w:rPr>
          <w:rFonts w:ascii="Times New Roman" w:hAnsi="Times New Roman" w:cs="Times New Roman"/>
          <w:color w:val="000000"/>
          <w:spacing w:val="6"/>
        </w:rPr>
        <w:t xml:space="preserve"> (w tym neuropatię anty-MAG)</w:t>
      </w:r>
      <w:r w:rsidR="0046763F" w:rsidRPr="00766DA3">
        <w:rPr>
          <w:rFonts w:ascii="Times New Roman" w:hAnsi="Times New Roman" w:cs="Times New Roman"/>
          <w:color w:val="000000"/>
          <w:spacing w:val="6"/>
        </w:rPr>
        <w:t xml:space="preserve"> należy rozważyć w wariancie ob</w:t>
      </w:r>
      <w:r w:rsidRPr="00766DA3">
        <w:rPr>
          <w:rFonts w:ascii="Times New Roman" w:hAnsi="Times New Roman" w:cs="Times New Roman"/>
          <w:color w:val="000000"/>
          <w:spacing w:val="6"/>
        </w:rPr>
        <w:t>wod</w:t>
      </w:r>
      <w:r w:rsidR="0046763F" w:rsidRPr="00766DA3">
        <w:rPr>
          <w:rFonts w:ascii="Times New Roman" w:hAnsi="Times New Roman" w:cs="Times New Roman"/>
          <w:color w:val="000000"/>
          <w:spacing w:val="6"/>
        </w:rPr>
        <w:t>ow</w:t>
      </w:r>
      <w:r w:rsidRPr="00766DA3">
        <w:rPr>
          <w:rFonts w:ascii="Times New Roman" w:hAnsi="Times New Roman" w:cs="Times New Roman"/>
          <w:color w:val="000000"/>
          <w:spacing w:val="6"/>
        </w:rPr>
        <w:t>ym CIDP oraz wtedy gdy nie ma odpowiedzi na leczenie.</w:t>
      </w:r>
    </w:p>
    <w:p w:rsidR="001C46AA" w:rsidRPr="00766DA3" w:rsidRDefault="001C46AA" w:rsidP="00F74952">
      <w:pPr>
        <w:jc w:val="both"/>
        <w:rPr>
          <w:rFonts w:ascii="Times New Roman" w:hAnsi="Times New Roman" w:cs="Times New Roman"/>
          <w:color w:val="000000"/>
          <w:spacing w:val="6"/>
        </w:rPr>
      </w:pPr>
      <w:r w:rsidRPr="00766DA3">
        <w:rPr>
          <w:rFonts w:ascii="Times New Roman" w:hAnsi="Times New Roman" w:cs="Times New Roman"/>
          <w:color w:val="000000"/>
          <w:spacing w:val="6"/>
        </w:rPr>
        <w:t>Identyfikacja przeciwciał anty-MAG oraz spełnienie kryteriów polineuropatii demielinizacyjnej w EMG stanowi podstawę do wykluczenia CIDP.</w:t>
      </w:r>
    </w:p>
    <w:p w:rsidR="001C46AA" w:rsidRPr="00766DA3" w:rsidRDefault="001C46AA">
      <w:pPr>
        <w:rPr>
          <w:rFonts w:ascii="Times New Roman" w:hAnsi="Times New Roman" w:cs="Times New Roman"/>
          <w:color w:val="000000"/>
          <w:spacing w:val="6"/>
        </w:rPr>
      </w:pPr>
    </w:p>
    <w:p w:rsidR="001C46AA" w:rsidRPr="00766DA3" w:rsidRDefault="001C46AA">
      <w:pPr>
        <w:rPr>
          <w:rFonts w:ascii="Times New Roman" w:hAnsi="Times New Roman" w:cs="Times New Roman"/>
          <w:color w:val="000000"/>
          <w:spacing w:val="6"/>
          <w:u w:val="single"/>
        </w:rPr>
      </w:pPr>
      <w:r w:rsidRPr="00766DA3">
        <w:rPr>
          <w:rFonts w:ascii="Times New Roman" w:hAnsi="Times New Roman" w:cs="Times New Roman"/>
          <w:color w:val="000000"/>
          <w:spacing w:val="6"/>
          <w:u w:val="single"/>
        </w:rPr>
        <w:t>Neuropatia z przeciwciałami anty-MAG:</w:t>
      </w:r>
    </w:p>
    <w:p w:rsidR="001C46AA" w:rsidRPr="00766DA3" w:rsidRDefault="001C46AA" w:rsidP="001C46A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color w:val="000000"/>
          <w:spacing w:val="6"/>
        </w:rPr>
      </w:pPr>
      <w:r w:rsidRPr="00766DA3">
        <w:rPr>
          <w:rFonts w:ascii="Times New Roman" w:hAnsi="Times New Roman" w:cs="Times New Roman"/>
          <w:color w:val="000000"/>
          <w:spacing w:val="6"/>
        </w:rPr>
        <w:t>Dystalne osłabienie</w:t>
      </w:r>
    </w:p>
    <w:p w:rsidR="001C46AA" w:rsidRPr="00766DA3" w:rsidRDefault="001C46AA" w:rsidP="001C46A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color w:val="000000"/>
          <w:spacing w:val="6"/>
        </w:rPr>
      </w:pPr>
      <w:proofErr w:type="spellStart"/>
      <w:r w:rsidRPr="00766DA3">
        <w:rPr>
          <w:rFonts w:ascii="Times New Roman" w:hAnsi="Times New Roman" w:cs="Times New Roman"/>
          <w:color w:val="000000"/>
          <w:spacing w:val="6"/>
        </w:rPr>
        <w:t>Gammapatia</w:t>
      </w:r>
      <w:proofErr w:type="spellEnd"/>
      <w:r w:rsidRPr="00766DA3">
        <w:rPr>
          <w:rFonts w:ascii="Times New Roman" w:hAnsi="Times New Roman" w:cs="Times New Roman"/>
          <w:color w:val="000000"/>
          <w:spacing w:val="6"/>
        </w:rPr>
        <w:t xml:space="preserve"> monoklonalna</w:t>
      </w:r>
    </w:p>
    <w:p w:rsidR="001C46AA" w:rsidRPr="00766DA3" w:rsidRDefault="001C46AA" w:rsidP="001C46A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color w:val="000000"/>
          <w:spacing w:val="6"/>
        </w:rPr>
      </w:pPr>
      <w:r w:rsidRPr="00766DA3">
        <w:rPr>
          <w:rFonts w:ascii="Times New Roman" w:hAnsi="Times New Roman" w:cs="Times New Roman"/>
          <w:color w:val="000000"/>
          <w:spacing w:val="6"/>
        </w:rPr>
        <w:t>Obecność przeciwciał anty-MAG</w:t>
      </w:r>
    </w:p>
    <w:p w:rsidR="001C46AA" w:rsidRPr="00766DA3" w:rsidRDefault="001C46AA">
      <w:pPr>
        <w:rPr>
          <w:rFonts w:ascii="Times New Roman" w:hAnsi="Times New Roman" w:cs="Times New Roman"/>
          <w:color w:val="000000"/>
          <w:spacing w:val="6"/>
        </w:rPr>
      </w:pPr>
    </w:p>
    <w:p w:rsidR="00766DA3" w:rsidRPr="00766DA3" w:rsidRDefault="00766DA3">
      <w:pPr>
        <w:rPr>
          <w:rFonts w:ascii="Times New Roman" w:hAnsi="Times New Roman" w:cs="Times New Roman"/>
          <w:color w:val="000000"/>
          <w:spacing w:val="6"/>
        </w:rPr>
      </w:pPr>
    </w:p>
    <w:p w:rsidR="00112B27" w:rsidRPr="00766DA3" w:rsidRDefault="00766DA3" w:rsidP="00766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66DA3">
        <w:rPr>
          <w:rFonts w:ascii="Times New Roman" w:eastAsia="Times New Roman" w:hAnsi="Times New Roman" w:cs="Times New Roman"/>
          <w:lang w:val="en-US"/>
        </w:rPr>
        <w:t xml:space="preserve">Van den Bergh, Peter YK, et al. „European Academy of Neurology/Peripheral Nerve Society guideline on diagnosis and treatment of chronic inflammatory demyelinating </w:t>
      </w:r>
      <w:proofErr w:type="spellStart"/>
      <w:r w:rsidRPr="00766DA3">
        <w:rPr>
          <w:rFonts w:ascii="Times New Roman" w:eastAsia="Times New Roman" w:hAnsi="Times New Roman" w:cs="Times New Roman"/>
          <w:lang w:val="en-US"/>
        </w:rPr>
        <w:t>polyradiculoneuropathy</w:t>
      </w:r>
      <w:proofErr w:type="spellEnd"/>
      <w:r w:rsidRPr="00766DA3">
        <w:rPr>
          <w:rFonts w:ascii="Times New Roman" w:eastAsia="Times New Roman" w:hAnsi="Times New Roman" w:cs="Times New Roman"/>
          <w:lang w:val="en-US"/>
        </w:rPr>
        <w:t xml:space="preserve">: Report of a joint Task Force—Second revision.” </w:t>
      </w:r>
      <w:proofErr w:type="spellStart"/>
      <w:r w:rsidRPr="00766DA3">
        <w:rPr>
          <w:rFonts w:ascii="Times New Roman" w:eastAsia="Times New Roman" w:hAnsi="Times New Roman" w:cs="Times New Roman"/>
        </w:rPr>
        <w:t>Journal</w:t>
      </w:r>
      <w:proofErr w:type="spellEnd"/>
      <w:r w:rsidRPr="00766DA3">
        <w:rPr>
          <w:rFonts w:ascii="Times New Roman" w:eastAsia="Times New Roman" w:hAnsi="Times New Roman" w:cs="Times New Roman"/>
        </w:rPr>
        <w:t xml:space="preserve"> of the </w:t>
      </w:r>
      <w:proofErr w:type="spellStart"/>
      <w:r w:rsidRPr="00766DA3">
        <w:rPr>
          <w:rFonts w:ascii="Times New Roman" w:eastAsia="Times New Roman" w:hAnsi="Times New Roman" w:cs="Times New Roman"/>
        </w:rPr>
        <w:t>Peripheral</w:t>
      </w:r>
      <w:proofErr w:type="spellEnd"/>
      <w:r w:rsidRPr="00766DA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66DA3">
        <w:rPr>
          <w:rFonts w:ascii="Times New Roman" w:eastAsia="Times New Roman" w:hAnsi="Times New Roman" w:cs="Times New Roman"/>
        </w:rPr>
        <w:t>Nerv</w:t>
      </w:r>
      <w:r>
        <w:rPr>
          <w:rFonts w:ascii="Times New Roman" w:eastAsia="Times New Roman" w:hAnsi="Times New Roman" w:cs="Times New Roman"/>
        </w:rPr>
        <w:t>ous</w:t>
      </w:r>
      <w:proofErr w:type="spellEnd"/>
      <w:r>
        <w:rPr>
          <w:rFonts w:ascii="Times New Roman" w:eastAsia="Times New Roman" w:hAnsi="Times New Roman" w:cs="Times New Roman"/>
        </w:rPr>
        <w:t xml:space="preserve"> System 26.3 (2021): 242-268.</w:t>
      </w:r>
      <w:bookmarkStart w:id="0" w:name="_GoBack"/>
      <w:bookmarkEnd w:id="0"/>
    </w:p>
    <w:sectPr w:rsidR="00112B27" w:rsidRPr="00766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E443D"/>
    <w:multiLevelType w:val="hybridMultilevel"/>
    <w:tmpl w:val="3AA65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9068D1"/>
    <w:multiLevelType w:val="hybridMultilevel"/>
    <w:tmpl w:val="BB4A7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AF7B84"/>
    <w:multiLevelType w:val="hybridMultilevel"/>
    <w:tmpl w:val="A9BC4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2637FE"/>
    <w:multiLevelType w:val="hybridMultilevel"/>
    <w:tmpl w:val="ABE4C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0A1A4D"/>
    <w:multiLevelType w:val="multilevel"/>
    <w:tmpl w:val="3F26F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3C4"/>
    <w:rsid w:val="00112B27"/>
    <w:rsid w:val="001C46AA"/>
    <w:rsid w:val="002A33C4"/>
    <w:rsid w:val="0046763F"/>
    <w:rsid w:val="006519F8"/>
    <w:rsid w:val="00766DA3"/>
    <w:rsid w:val="0085780F"/>
    <w:rsid w:val="00B57C6B"/>
    <w:rsid w:val="00BE625F"/>
    <w:rsid w:val="00EF3F34"/>
    <w:rsid w:val="00F7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12B27"/>
    <w:rPr>
      <w:b/>
      <w:bCs/>
    </w:rPr>
  </w:style>
  <w:style w:type="paragraph" w:styleId="NormalnyWeb">
    <w:name w:val="Normal (Web)"/>
    <w:basedOn w:val="Normalny"/>
    <w:uiPriority w:val="99"/>
    <w:unhideWhenUsed/>
    <w:rsid w:val="00857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5780F"/>
    <w:rPr>
      <w:i/>
      <w:iCs/>
    </w:rPr>
  </w:style>
  <w:style w:type="paragraph" w:styleId="Akapitzlist">
    <w:name w:val="List Paragraph"/>
    <w:basedOn w:val="Normalny"/>
    <w:uiPriority w:val="34"/>
    <w:qFormat/>
    <w:rsid w:val="00B57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12B27"/>
    <w:rPr>
      <w:b/>
      <w:bCs/>
    </w:rPr>
  </w:style>
  <w:style w:type="paragraph" w:styleId="NormalnyWeb">
    <w:name w:val="Normal (Web)"/>
    <w:basedOn w:val="Normalny"/>
    <w:uiPriority w:val="99"/>
    <w:unhideWhenUsed/>
    <w:rsid w:val="00857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5780F"/>
    <w:rPr>
      <w:i/>
      <w:iCs/>
    </w:rPr>
  </w:style>
  <w:style w:type="paragraph" w:styleId="Akapitzlist">
    <w:name w:val="List Paragraph"/>
    <w:basedOn w:val="Normalny"/>
    <w:uiPriority w:val="34"/>
    <w:qFormat/>
    <w:rsid w:val="00B57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Palejko</dc:creator>
  <cp:keywords/>
  <dc:description/>
  <cp:lastModifiedBy>Anna Palejko</cp:lastModifiedBy>
  <cp:revision>8</cp:revision>
  <dcterms:created xsi:type="dcterms:W3CDTF">2026-08-12T11:20:00Z</dcterms:created>
  <dcterms:modified xsi:type="dcterms:W3CDTF">2026-08-12T11:45:00Z</dcterms:modified>
</cp:coreProperties>
</file>