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202" w:rsidRDefault="00244202" w:rsidP="00244202">
      <w:pPr>
        <w:pStyle w:val="style4"/>
      </w:pPr>
      <w:r>
        <w:rPr>
          <w:rStyle w:val="Pogrubienie"/>
        </w:rPr>
        <w:t xml:space="preserve">OZNACZENIE </w:t>
      </w:r>
      <w:r w:rsidR="00C3676A">
        <w:rPr>
          <w:rStyle w:val="Pogrubienie"/>
        </w:rPr>
        <w:t xml:space="preserve">POZIOMU </w:t>
      </w:r>
      <w:r w:rsidR="00AA14F5">
        <w:rPr>
          <w:rStyle w:val="Pogrubienie"/>
        </w:rPr>
        <w:t xml:space="preserve">WOLNYCH ŁAŃCUCHÓW </w:t>
      </w:r>
      <w:r w:rsidR="00014A85">
        <w:rPr>
          <w:rStyle w:val="Pogrubienie"/>
        </w:rPr>
        <w:t xml:space="preserve">LEKKICH </w:t>
      </w:r>
      <w:r w:rsidR="00AA14F5">
        <w:rPr>
          <w:rStyle w:val="Pogrubienie"/>
        </w:rPr>
        <w:t>KAPPA</w:t>
      </w:r>
      <w:r w:rsidR="00D30F26">
        <w:rPr>
          <w:rStyle w:val="Pogrubienie"/>
        </w:rPr>
        <w:t xml:space="preserve"> </w:t>
      </w:r>
      <w:r w:rsidR="00FB4A4D">
        <w:rPr>
          <w:rStyle w:val="Pogrubienie"/>
        </w:rPr>
        <w:t>(KFLC)</w:t>
      </w:r>
      <w:r w:rsidR="00D30F26">
        <w:rPr>
          <w:rStyle w:val="Pogrubienie"/>
        </w:rPr>
        <w:br/>
        <w:t>ORAZ WYLICZENIE INDEKSU</w:t>
      </w:r>
      <w:r>
        <w:br/>
      </w:r>
      <w:r>
        <w:rPr>
          <w:rStyle w:val="Pogrubienie"/>
        </w:rPr>
        <w:t>_______________________________________________________________________</w:t>
      </w:r>
    </w:p>
    <w:p w:rsidR="00A40CF9" w:rsidRDefault="00A40CF9" w:rsidP="00A40CF9">
      <w:pPr>
        <w:pStyle w:val="style4"/>
        <w:rPr>
          <w:rStyle w:val="Pogrubienie"/>
        </w:rPr>
      </w:pPr>
      <w:r>
        <w:rPr>
          <w:rStyle w:val="Pogrubienie"/>
        </w:rPr>
        <w:t>Materiał niezbędny do wykonania badania:</w:t>
      </w:r>
    </w:p>
    <w:p w:rsidR="00A40CF9" w:rsidRPr="00D259D6" w:rsidRDefault="00A40CF9" w:rsidP="00A40CF9">
      <w:pPr>
        <w:pStyle w:val="style4"/>
        <w:numPr>
          <w:ilvl w:val="0"/>
          <w:numId w:val="2"/>
        </w:numPr>
        <w:rPr>
          <w:b/>
          <w:bCs/>
        </w:rPr>
      </w:pPr>
      <w:r>
        <w:t xml:space="preserve">Surowica: 2 ml lub krew pobrana „na skrzep”: ok. 3-5 ml </w:t>
      </w:r>
      <w:r w:rsidRPr="000B64FA">
        <w:rPr>
          <w:rStyle w:val="Pogrubienie"/>
          <w:u w:val="single"/>
        </w:rPr>
        <w:t>ORAZ</w:t>
      </w:r>
    </w:p>
    <w:p w:rsidR="00A40CF9" w:rsidRDefault="00A40CF9" w:rsidP="00A40CF9">
      <w:pPr>
        <w:pStyle w:val="style4"/>
        <w:numPr>
          <w:ilvl w:val="0"/>
          <w:numId w:val="2"/>
        </w:numPr>
      </w:pPr>
      <w:r>
        <w:rPr>
          <w:rStyle w:val="Pogrubienie"/>
          <w:b w:val="0"/>
        </w:rPr>
        <w:t>P</w:t>
      </w:r>
      <w:r w:rsidR="000C0CC5">
        <w:t>łyn mózgowo-rdzeniowy: 1</w:t>
      </w:r>
      <w:r>
        <w:t xml:space="preserve"> ml</w:t>
      </w:r>
    </w:p>
    <w:p w:rsidR="00A40CF9" w:rsidRPr="00D259D6" w:rsidRDefault="00A40CF9" w:rsidP="00A40CF9">
      <w:pPr>
        <w:pStyle w:val="style4"/>
        <w:jc w:val="center"/>
        <w:rPr>
          <w:b/>
          <w:color w:val="FF0000"/>
        </w:rPr>
      </w:pPr>
      <w:r>
        <w:rPr>
          <w:b/>
          <w:color w:val="FF0000"/>
        </w:rPr>
        <w:t>DOPUSZCZALNA RÓŻNICA POMIĘDZY POBRANIEM SUROWICY A PŁYNU MÓZGOWEGO-RDZENIOWEGO WYNOSI 12 GODZIN!</w:t>
      </w:r>
    </w:p>
    <w:p w:rsidR="00A40CF9" w:rsidRDefault="00A40CF9" w:rsidP="00A40C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A40CF9" w:rsidRPr="00D259D6" w:rsidRDefault="00A40CF9" w:rsidP="00A40C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259D6"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A40CF9" w:rsidRPr="00D259D6" w:rsidRDefault="00A40CF9" w:rsidP="00A40CF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A40CF9" w:rsidRDefault="00A40CF9" w:rsidP="00A40CF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2-8</w:t>
      </w:r>
      <w:r w:rsidRPr="00D259D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D259D6">
        <w:rPr>
          <w:rFonts w:ascii="Times New Roman" w:hAnsi="Times New Roman" w:cs="Times New Roman"/>
          <w:sz w:val="24"/>
          <w:szCs w:val="24"/>
        </w:rPr>
        <w:t>C do 7 dni</w:t>
      </w:r>
    </w:p>
    <w:p w:rsidR="00A40CF9" w:rsidRDefault="00A40CF9" w:rsidP="00A40C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0CF9" w:rsidRPr="00D259D6" w:rsidRDefault="00A40CF9" w:rsidP="00A40C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259D6">
        <w:rPr>
          <w:rFonts w:ascii="Times New Roman" w:hAnsi="Times New Roman" w:cs="Times New Roman"/>
          <w:sz w:val="24"/>
          <w:szCs w:val="24"/>
          <w:u w:val="single"/>
        </w:rPr>
        <w:t>Surowica i płyn mózgowo-rdzeniowy:</w:t>
      </w:r>
    </w:p>
    <w:p w:rsidR="00A40CF9" w:rsidRPr="00D259D6" w:rsidRDefault="00A40CF9" w:rsidP="00A40CF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A40CF9" w:rsidRDefault="00A40CF9" w:rsidP="00A40CF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2-8</w:t>
      </w:r>
      <w:r w:rsidRPr="00D259D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D259D6">
        <w:rPr>
          <w:rFonts w:ascii="Times New Roman" w:hAnsi="Times New Roman" w:cs="Times New Roman"/>
          <w:sz w:val="24"/>
          <w:szCs w:val="24"/>
        </w:rPr>
        <w:t>C do 7 dni</w:t>
      </w:r>
    </w:p>
    <w:p w:rsidR="00A40CF9" w:rsidRDefault="00A40CF9" w:rsidP="00A40CF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-20</w:t>
      </w:r>
      <w:r w:rsidRPr="00D259D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D259D6">
        <w:rPr>
          <w:rFonts w:ascii="Times New Roman" w:hAnsi="Times New Roman" w:cs="Times New Roman"/>
          <w:sz w:val="24"/>
          <w:szCs w:val="24"/>
        </w:rPr>
        <w:t xml:space="preserve">C </w:t>
      </w:r>
      <w:r w:rsidR="008934C7">
        <w:rPr>
          <w:rFonts w:ascii="Times New Roman" w:hAnsi="Times New Roman" w:cs="Times New Roman"/>
          <w:sz w:val="24"/>
          <w:szCs w:val="24"/>
        </w:rPr>
        <w:t>do 2 miesięcy</w:t>
      </w:r>
    </w:p>
    <w:p w:rsidR="008934C7" w:rsidRPr="008934C7" w:rsidRDefault="008934C7" w:rsidP="008934C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-8</w:t>
      </w:r>
      <w:r w:rsidRPr="00D259D6">
        <w:rPr>
          <w:rFonts w:ascii="Times New Roman" w:hAnsi="Times New Roman" w:cs="Times New Roman"/>
          <w:sz w:val="24"/>
          <w:szCs w:val="24"/>
        </w:rPr>
        <w:t>0</w:t>
      </w:r>
      <w:r w:rsidRPr="00D259D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D259D6">
        <w:rPr>
          <w:rFonts w:ascii="Times New Roman" w:hAnsi="Times New Roman" w:cs="Times New Roman"/>
          <w:sz w:val="24"/>
          <w:szCs w:val="24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>powyżej 2 miesięcy</w:t>
      </w:r>
    </w:p>
    <w:p w:rsidR="00A40CF9" w:rsidRDefault="00A40CF9" w:rsidP="00A40C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A40CF9" w:rsidRDefault="00A40CF9" w:rsidP="00A40CF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A40CF9" w:rsidRPr="00984D44" w:rsidRDefault="00A40CF9" w:rsidP="00A40CF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84D4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A40CF9" w:rsidRDefault="00A40CF9" w:rsidP="00A40C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A40CF9" w:rsidRDefault="00A40CF9" w:rsidP="00A40CF9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A40CF9" w:rsidRDefault="00A40CF9" w:rsidP="00A40CF9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A40CF9" w:rsidRPr="00984D44" w:rsidRDefault="00A40CF9" w:rsidP="00A40CF9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C3676A" w:rsidRPr="00C3676A" w:rsidRDefault="00244202" w:rsidP="00244202">
      <w:pPr>
        <w:pStyle w:val="style4"/>
      </w:pPr>
      <w:r>
        <w:rPr>
          <w:rStyle w:val="Pogrubienie"/>
        </w:rPr>
        <w:t>Czas oczekiwania na wynik badania:</w:t>
      </w:r>
      <w:r w:rsidR="00C3676A">
        <w:t xml:space="preserve"> </w:t>
      </w:r>
      <w:r w:rsidR="00A40CF9">
        <w:t>do 1 tygodnia</w:t>
      </w:r>
      <w:r>
        <w:br/>
        <w:t> </w:t>
      </w:r>
      <w:r>
        <w:br/>
      </w:r>
      <w:r>
        <w:rPr>
          <w:rStyle w:val="Pogrubienie"/>
        </w:rPr>
        <w:t xml:space="preserve">Metoda badania: </w:t>
      </w:r>
      <w:r>
        <w:t xml:space="preserve">metoda </w:t>
      </w:r>
      <w:proofErr w:type="spellStart"/>
      <w:r w:rsidR="00995BE8">
        <w:t>immuno</w:t>
      </w:r>
      <w:r>
        <w:t>turbidymetryczna</w:t>
      </w:r>
      <w:proofErr w:type="spellEnd"/>
    </w:p>
    <w:p w:rsidR="001925E6" w:rsidRDefault="00C3676A" w:rsidP="00C3676A">
      <w:pPr>
        <w:pStyle w:val="style4"/>
      </w:pPr>
      <w:r>
        <w:rPr>
          <w:b/>
        </w:rPr>
        <w:t>Koszt badania:</w:t>
      </w:r>
      <w:r>
        <w:rPr>
          <w:b/>
        </w:rPr>
        <w:br/>
      </w:r>
      <w:r>
        <w:t xml:space="preserve">* </w:t>
      </w:r>
      <w:r w:rsidR="0095405E">
        <w:rPr>
          <w:b/>
        </w:rPr>
        <w:t xml:space="preserve">wolne lekkie łańcuchy kappa – </w:t>
      </w:r>
      <w:r w:rsidR="00A40CF9">
        <w:t>21</w:t>
      </w:r>
      <w:r w:rsidR="0095405E" w:rsidRPr="0095405E">
        <w:t>0 zł za oznaczenie w 1 materiale</w:t>
      </w:r>
      <w:r w:rsidR="0095405E">
        <w:br/>
        <w:t xml:space="preserve">* </w:t>
      </w:r>
      <w:r w:rsidR="0095405E" w:rsidRPr="0095405E">
        <w:rPr>
          <w:b/>
        </w:rPr>
        <w:t>indeks wolnych lekkich łańcuchów kappa</w:t>
      </w:r>
      <w:r w:rsidR="0095405E">
        <w:t xml:space="preserve"> (pakiet oznaczeń: wolne lekk</w:t>
      </w:r>
      <w:r w:rsidR="00014A85">
        <w:t>i</w:t>
      </w:r>
      <w:r w:rsidR="0095405E">
        <w:t>e łańcuchy kappa + albuminy w surowicy i</w:t>
      </w:r>
      <w:r w:rsidR="00A40CF9">
        <w:t xml:space="preserve"> PMR + wyliczenie indeksu) – 450</w:t>
      </w:r>
      <w:r w:rsidR="0095405E">
        <w:t xml:space="preserve"> zł</w:t>
      </w:r>
    </w:p>
    <w:p w:rsidR="00B97F49" w:rsidRPr="00020ABC" w:rsidRDefault="00005F61" w:rsidP="00C3676A">
      <w:pPr>
        <w:pStyle w:val="style4"/>
        <w:rPr>
          <w:b/>
          <w:color w:val="FF0000"/>
          <w:sz w:val="20"/>
          <w:szCs w:val="20"/>
        </w:rPr>
      </w:pPr>
      <w:r w:rsidRPr="00020ABC">
        <w:rPr>
          <w:b/>
          <w:color w:val="FF0000"/>
          <w:sz w:val="20"/>
          <w:szCs w:val="20"/>
        </w:rPr>
        <w:t>Zgodnie z nowymi kryteriami McDonalda w</w:t>
      </w:r>
      <w:r w:rsidR="00B97F49" w:rsidRPr="00020ABC">
        <w:rPr>
          <w:b/>
          <w:color w:val="FF0000"/>
          <w:sz w:val="20"/>
          <w:szCs w:val="20"/>
        </w:rPr>
        <w:t xml:space="preserve"> diagnostyce stwardnienia rozsianego </w:t>
      </w:r>
      <w:r w:rsidR="00F4033C" w:rsidRPr="00020ABC">
        <w:rPr>
          <w:b/>
          <w:color w:val="FF0000"/>
          <w:sz w:val="20"/>
          <w:szCs w:val="20"/>
        </w:rPr>
        <w:t>wykorzystywany jest indeks wolnych lekkich łańcuchów kappa (KFLC</w:t>
      </w:r>
      <w:r w:rsidR="00FB4A4D" w:rsidRPr="00020ABC">
        <w:rPr>
          <w:b/>
          <w:color w:val="FF0000"/>
          <w:sz w:val="20"/>
          <w:szCs w:val="20"/>
        </w:rPr>
        <w:t xml:space="preserve"> index</w:t>
      </w:r>
      <w:r w:rsidR="00F4033C" w:rsidRPr="00020ABC">
        <w:rPr>
          <w:b/>
          <w:color w:val="FF0000"/>
          <w:sz w:val="20"/>
          <w:szCs w:val="20"/>
        </w:rPr>
        <w:t>)</w:t>
      </w:r>
      <w:r w:rsidR="00FB4A4D" w:rsidRPr="00020ABC">
        <w:rPr>
          <w:b/>
          <w:color w:val="FF0000"/>
          <w:sz w:val="20"/>
          <w:szCs w:val="20"/>
        </w:rPr>
        <w:t>, który jest bardziej czuły niż pojedyncze oznaczenie KFLC.</w:t>
      </w:r>
      <w:bookmarkStart w:id="0" w:name="_GoBack"/>
      <w:bookmarkEnd w:id="0"/>
    </w:p>
    <w:p w:rsidR="00440497" w:rsidRPr="00291D1A" w:rsidRDefault="00440497" w:rsidP="004404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</w:pPr>
      <w:proofErr w:type="spellStart"/>
      <w:r w:rsidRPr="00291D1A">
        <w:rPr>
          <w:rStyle w:val="text"/>
          <w:rFonts w:ascii="Times New Roman" w:hAnsi="Times New Roman" w:cs="Times New Roman"/>
          <w:sz w:val="20"/>
          <w:szCs w:val="20"/>
          <w:lang w:val="en-US"/>
        </w:rPr>
        <w:t>Deisenhammer</w:t>
      </w:r>
      <w:proofErr w:type="spellEnd"/>
      <w:r w:rsidRPr="00291D1A">
        <w:rPr>
          <w:rStyle w:val="react-xocs-alternative-link"/>
          <w:rFonts w:ascii="Times New Roman" w:hAnsi="Times New Roman" w:cs="Times New Roman"/>
          <w:sz w:val="20"/>
          <w:szCs w:val="20"/>
          <w:lang w:val="en-US"/>
        </w:rPr>
        <w:t> </w:t>
      </w:r>
      <w:r w:rsidRPr="00291D1A">
        <w:rPr>
          <w:rStyle w:val="author-ref"/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Pr="00291D1A">
        <w:rPr>
          <w:rFonts w:ascii="Times New Roman" w:hAnsi="Times New Roman" w:cs="Times New Roman"/>
          <w:color w:val="1F1F1F"/>
          <w:sz w:val="20"/>
          <w:szCs w:val="20"/>
          <w:lang w:val="en-US"/>
        </w:rPr>
        <w:t>F,</w:t>
      </w:r>
      <w:r w:rsidRPr="00291D1A">
        <w:rPr>
          <w:rStyle w:val="react-xocs-alternative-link"/>
          <w:rFonts w:ascii="Times New Roman" w:hAnsi="Times New Roman" w:cs="Times New Roman"/>
          <w:sz w:val="20"/>
          <w:szCs w:val="20"/>
          <w:lang w:val="en-US"/>
        </w:rPr>
        <w:t> </w:t>
      </w:r>
      <w:proofErr w:type="spellStart"/>
      <w:r w:rsidRPr="00291D1A">
        <w:rPr>
          <w:rStyle w:val="text"/>
          <w:rFonts w:ascii="Times New Roman" w:hAnsi="Times New Roman" w:cs="Times New Roman"/>
          <w:sz w:val="20"/>
          <w:szCs w:val="20"/>
          <w:lang w:val="en-US"/>
        </w:rPr>
        <w:t>Hegen</w:t>
      </w:r>
      <w:proofErr w:type="spellEnd"/>
      <w:r w:rsidRPr="00291D1A">
        <w:rPr>
          <w:rStyle w:val="react-xocs-alternative-link"/>
          <w:rFonts w:ascii="Times New Roman" w:hAnsi="Times New Roman" w:cs="Times New Roman"/>
          <w:sz w:val="20"/>
          <w:szCs w:val="20"/>
          <w:lang w:val="en-US"/>
        </w:rPr>
        <w:t xml:space="preserve"> H</w:t>
      </w:r>
      <w:r w:rsidRPr="00291D1A">
        <w:rPr>
          <w:rFonts w:ascii="Times New Roman" w:hAnsi="Times New Roman" w:cs="Times New Roman"/>
          <w:color w:val="1F1F1F"/>
          <w:sz w:val="20"/>
          <w:szCs w:val="20"/>
          <w:lang w:val="en-US"/>
        </w:rPr>
        <w:t> </w:t>
      </w:r>
      <w:proofErr w:type="spellStart"/>
      <w:r w:rsidRPr="00291D1A">
        <w:rPr>
          <w:rStyle w:val="text"/>
          <w:rFonts w:ascii="Times New Roman" w:hAnsi="Times New Roman" w:cs="Times New Roman"/>
          <w:sz w:val="20"/>
          <w:szCs w:val="20"/>
          <w:lang w:val="en-US"/>
        </w:rPr>
        <w:t>Arrambide</w:t>
      </w:r>
      <w:proofErr w:type="spellEnd"/>
      <w:r w:rsidRPr="00291D1A">
        <w:rPr>
          <w:rStyle w:val="react-xocs-alternative-link"/>
          <w:rFonts w:ascii="Times New Roman" w:hAnsi="Times New Roman" w:cs="Times New Roman"/>
          <w:sz w:val="20"/>
          <w:szCs w:val="20"/>
          <w:lang w:val="en-US"/>
        </w:rPr>
        <w:t xml:space="preserve"> G</w:t>
      </w:r>
      <w:r w:rsidRPr="00291D1A">
        <w:rPr>
          <w:rFonts w:ascii="Times New Roman" w:hAnsi="Times New Roman" w:cs="Times New Roman"/>
          <w:color w:val="1F1F1F"/>
          <w:sz w:val="20"/>
          <w:szCs w:val="20"/>
          <w:lang w:val="en-US"/>
        </w:rPr>
        <w:t xml:space="preserve">, </w:t>
      </w:r>
      <w:proofErr w:type="spellStart"/>
      <w:r w:rsidRPr="00291D1A">
        <w:rPr>
          <w:rStyle w:val="text"/>
          <w:rFonts w:ascii="Times New Roman" w:hAnsi="Times New Roman" w:cs="Times New Roman"/>
          <w:sz w:val="20"/>
          <w:szCs w:val="20"/>
          <w:lang w:val="en-US"/>
        </w:rPr>
        <w:t>Banwell</w:t>
      </w:r>
      <w:proofErr w:type="spellEnd"/>
      <w:r w:rsidRPr="00291D1A">
        <w:rPr>
          <w:rStyle w:val="react-xocs-alternative-link"/>
          <w:rFonts w:ascii="Times New Roman" w:hAnsi="Times New Roman" w:cs="Times New Roman"/>
          <w:sz w:val="20"/>
          <w:szCs w:val="20"/>
          <w:lang w:val="en-US"/>
        </w:rPr>
        <w:t xml:space="preserve"> BL</w:t>
      </w:r>
      <w:r w:rsidRPr="00291D1A">
        <w:rPr>
          <w:rFonts w:ascii="Times New Roman" w:hAnsi="Times New Roman" w:cs="Times New Roman"/>
          <w:color w:val="1F1F1F"/>
          <w:sz w:val="20"/>
          <w:szCs w:val="20"/>
          <w:lang w:val="en-US"/>
        </w:rPr>
        <w:t>, </w:t>
      </w:r>
      <w:r w:rsidRPr="00291D1A">
        <w:rPr>
          <w:rStyle w:val="text"/>
          <w:rFonts w:ascii="Times New Roman" w:hAnsi="Times New Roman" w:cs="Times New Roman"/>
          <w:sz w:val="20"/>
          <w:szCs w:val="20"/>
          <w:lang w:val="en-US"/>
        </w:rPr>
        <w:t>Coetzee</w:t>
      </w:r>
      <w:r w:rsidRPr="00291D1A">
        <w:rPr>
          <w:rStyle w:val="react-xocs-alternative-link"/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91D1A">
        <w:rPr>
          <w:rStyle w:val="react-xocs-alternative-link"/>
          <w:rFonts w:ascii="Times New Roman" w:hAnsi="Times New Roman" w:cs="Times New Roman"/>
          <w:sz w:val="20"/>
          <w:szCs w:val="20"/>
          <w:lang w:val="en-US"/>
        </w:rPr>
        <w:t>T</w:t>
      </w:r>
      <w:r w:rsidRPr="00291D1A">
        <w:rPr>
          <w:rFonts w:ascii="Times New Roman" w:hAnsi="Times New Roman" w:cs="Times New Roman"/>
          <w:color w:val="1F1F1F"/>
          <w:sz w:val="20"/>
          <w:szCs w:val="20"/>
          <w:lang w:val="en-US"/>
        </w:rPr>
        <w:t>,</w:t>
      </w:r>
      <w:r w:rsidRPr="00291D1A">
        <w:rPr>
          <w:rStyle w:val="text"/>
          <w:rFonts w:ascii="Times New Roman" w:hAnsi="Times New Roman" w:cs="Times New Roman"/>
          <w:sz w:val="20"/>
          <w:szCs w:val="20"/>
          <w:lang w:val="en-US"/>
        </w:rPr>
        <w:t>Gnanapavan</w:t>
      </w:r>
      <w:proofErr w:type="spellEnd"/>
      <w:r w:rsidRPr="00291D1A">
        <w:rPr>
          <w:rStyle w:val="react-xocs-alternative-link"/>
          <w:rFonts w:ascii="Times New Roman" w:hAnsi="Times New Roman" w:cs="Times New Roman"/>
          <w:sz w:val="20"/>
          <w:szCs w:val="20"/>
          <w:lang w:val="en-US"/>
        </w:rPr>
        <w:t> S</w:t>
      </w:r>
      <w:r w:rsidRPr="00291D1A">
        <w:rPr>
          <w:rFonts w:ascii="Times New Roman" w:hAnsi="Times New Roman" w:cs="Times New Roman"/>
          <w:color w:val="1F1F1F"/>
          <w:sz w:val="20"/>
          <w:szCs w:val="20"/>
          <w:lang w:val="en-US"/>
        </w:rPr>
        <w:t>,</w:t>
      </w:r>
      <w:r w:rsidRPr="00291D1A">
        <w:rPr>
          <w:rStyle w:val="given-name"/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91D1A">
        <w:rPr>
          <w:rStyle w:val="text"/>
          <w:rFonts w:ascii="Times New Roman" w:hAnsi="Times New Roman" w:cs="Times New Roman"/>
          <w:sz w:val="20"/>
          <w:szCs w:val="20"/>
          <w:lang w:val="en-US"/>
        </w:rPr>
        <w:t>Montalban</w:t>
      </w:r>
      <w:proofErr w:type="spellEnd"/>
      <w:r w:rsidRPr="00291D1A">
        <w:rPr>
          <w:rStyle w:val="react-xocs-alternative-link"/>
          <w:rFonts w:ascii="Times New Roman" w:hAnsi="Times New Roman" w:cs="Times New Roman"/>
          <w:sz w:val="20"/>
          <w:szCs w:val="20"/>
          <w:lang w:val="en-US"/>
        </w:rPr>
        <w:t xml:space="preserve"> X</w:t>
      </w:r>
      <w:r w:rsidRPr="00291D1A">
        <w:rPr>
          <w:rFonts w:ascii="Times New Roman" w:hAnsi="Times New Roman" w:cs="Times New Roman"/>
          <w:color w:val="1F1F1F"/>
          <w:sz w:val="20"/>
          <w:szCs w:val="20"/>
          <w:lang w:val="en-US"/>
        </w:rPr>
        <w:t>, </w:t>
      </w:r>
      <w:proofErr w:type="spellStart"/>
      <w:r w:rsidRPr="00291D1A">
        <w:rPr>
          <w:rStyle w:val="text"/>
          <w:rFonts w:ascii="Times New Roman" w:hAnsi="Times New Roman" w:cs="Times New Roman"/>
          <w:sz w:val="20"/>
          <w:szCs w:val="20"/>
          <w:lang w:val="en-US"/>
        </w:rPr>
        <w:t>Tumani</w:t>
      </w:r>
      <w:proofErr w:type="spellEnd"/>
      <w:r w:rsidRPr="00291D1A">
        <w:rPr>
          <w:rStyle w:val="react-xocs-alternative-link"/>
          <w:rFonts w:ascii="Times New Roman" w:hAnsi="Times New Roman" w:cs="Times New Roman"/>
          <w:sz w:val="20"/>
          <w:szCs w:val="20"/>
          <w:lang w:val="en-US"/>
        </w:rPr>
        <w:t xml:space="preserve"> H</w:t>
      </w:r>
      <w:r w:rsidRPr="00291D1A">
        <w:rPr>
          <w:rFonts w:ascii="Times New Roman" w:hAnsi="Times New Roman" w:cs="Times New Roman"/>
          <w:color w:val="1F1F1F"/>
          <w:sz w:val="20"/>
          <w:szCs w:val="20"/>
          <w:lang w:val="en-US"/>
        </w:rPr>
        <w:t>, </w:t>
      </w:r>
      <w:proofErr w:type="spellStart"/>
      <w:r w:rsidRPr="00291D1A">
        <w:rPr>
          <w:rStyle w:val="text"/>
          <w:rFonts w:ascii="Times New Roman" w:hAnsi="Times New Roman" w:cs="Times New Roman"/>
          <w:sz w:val="20"/>
          <w:szCs w:val="20"/>
          <w:lang w:val="en-US"/>
        </w:rPr>
        <w:t>Willrich</w:t>
      </w:r>
      <w:proofErr w:type="spellEnd"/>
      <w:r w:rsidRPr="00291D1A">
        <w:rPr>
          <w:rStyle w:val="react-xocs-alternative-link"/>
          <w:rFonts w:ascii="Times New Roman" w:hAnsi="Times New Roman" w:cs="Times New Roman"/>
          <w:sz w:val="20"/>
          <w:szCs w:val="20"/>
          <w:lang w:val="en-US"/>
        </w:rPr>
        <w:t xml:space="preserve"> MA</w:t>
      </w:r>
      <w:r w:rsidRPr="00291D1A">
        <w:rPr>
          <w:rFonts w:ascii="Times New Roman" w:hAnsi="Times New Roman" w:cs="Times New Roman"/>
          <w:color w:val="1F1F1F"/>
          <w:sz w:val="20"/>
          <w:szCs w:val="20"/>
          <w:lang w:val="en-US"/>
        </w:rPr>
        <w:t>, </w:t>
      </w:r>
      <w:r w:rsidRPr="00291D1A">
        <w:rPr>
          <w:rStyle w:val="text"/>
          <w:rFonts w:ascii="Times New Roman" w:hAnsi="Times New Roman" w:cs="Times New Roman"/>
          <w:sz w:val="20"/>
          <w:szCs w:val="20"/>
          <w:lang w:val="en-US"/>
        </w:rPr>
        <w:t>Freedman</w:t>
      </w:r>
      <w:r w:rsidRPr="00291D1A">
        <w:rPr>
          <w:rStyle w:val="react-xocs-alternative-link"/>
          <w:rFonts w:ascii="Times New Roman" w:hAnsi="Times New Roman" w:cs="Times New Roman"/>
          <w:sz w:val="20"/>
          <w:szCs w:val="20"/>
          <w:lang w:val="en-US"/>
        </w:rPr>
        <w:t xml:space="preserve"> MS</w:t>
      </w:r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: Positive cerebrospinal fluid in the 2024 McDonald criteria for multiple sclerosis.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EBioMedicine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. 2025 Oct:120:105905.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doi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: 10.1016/j.ebiom.2025.105905.</w:t>
      </w:r>
    </w:p>
    <w:p w:rsidR="00440497" w:rsidRPr="00291D1A" w:rsidRDefault="00440497" w:rsidP="004404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</w:pPr>
    </w:p>
    <w:p w:rsidR="00C3676A" w:rsidRPr="00440497" w:rsidRDefault="00440497" w:rsidP="004404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Hegen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H,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Arrambide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G,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Gnanapavan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S, Kaplan B, Khalil M,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Ruba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Saadeh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R,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Teunissen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Ch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,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Tumani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H,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Villar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LM, Maria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Willrich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MA, Zetterberg H,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Deisenhammer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 F: Cerebrospinal fluid kappa free light chains for the diagnosis of multiple sclerosis: A consensus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statementMult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</w:t>
      </w:r>
      <w:proofErr w:type="spellStart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Scler</w:t>
      </w:r>
      <w:proofErr w:type="spellEnd"/>
      <w:r w:rsidRPr="00291D1A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2022 Dec 17;29(2):182–195. doi: 10.1177/13524585221134217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</w:t>
      </w:r>
    </w:p>
    <w:sectPr w:rsidR="00C3676A" w:rsidRPr="00440497" w:rsidSect="00FB4A4D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167F74"/>
    <w:multiLevelType w:val="hybridMultilevel"/>
    <w:tmpl w:val="C95C8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B8A"/>
    <w:rsid w:val="00005F61"/>
    <w:rsid w:val="00014A85"/>
    <w:rsid w:val="00020ABC"/>
    <w:rsid w:val="00053EDC"/>
    <w:rsid w:val="00083373"/>
    <w:rsid w:val="000C0CC5"/>
    <w:rsid w:val="001925E6"/>
    <w:rsid w:val="00244202"/>
    <w:rsid w:val="00393421"/>
    <w:rsid w:val="0040794E"/>
    <w:rsid w:val="00440497"/>
    <w:rsid w:val="00685B8A"/>
    <w:rsid w:val="00720CC3"/>
    <w:rsid w:val="008934C7"/>
    <w:rsid w:val="0095405E"/>
    <w:rsid w:val="0095451D"/>
    <w:rsid w:val="00995BE8"/>
    <w:rsid w:val="009B2A03"/>
    <w:rsid w:val="00A40CF9"/>
    <w:rsid w:val="00AA14F5"/>
    <w:rsid w:val="00B7764E"/>
    <w:rsid w:val="00B97F49"/>
    <w:rsid w:val="00C3676A"/>
    <w:rsid w:val="00D30F26"/>
    <w:rsid w:val="00F4033C"/>
    <w:rsid w:val="00FB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rsid w:val="00244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44202"/>
    <w:rPr>
      <w:b/>
      <w:bCs/>
    </w:rPr>
  </w:style>
  <w:style w:type="paragraph" w:styleId="Akapitzlist">
    <w:name w:val="List Paragraph"/>
    <w:basedOn w:val="Normalny"/>
    <w:uiPriority w:val="34"/>
    <w:qFormat/>
    <w:rsid w:val="00A40CF9"/>
    <w:pPr>
      <w:ind w:left="720"/>
      <w:contextualSpacing/>
    </w:pPr>
    <w:rPr>
      <w:rFonts w:eastAsiaTheme="minorEastAsia"/>
      <w:lang w:eastAsia="pl-PL"/>
    </w:rPr>
  </w:style>
  <w:style w:type="character" w:customStyle="1" w:styleId="react-xocs-alternative-link">
    <w:name w:val="react-xocs-alternative-link"/>
    <w:basedOn w:val="Domylnaczcionkaakapitu"/>
    <w:rsid w:val="00440497"/>
  </w:style>
  <w:style w:type="character" w:customStyle="1" w:styleId="given-name">
    <w:name w:val="given-name"/>
    <w:basedOn w:val="Domylnaczcionkaakapitu"/>
    <w:rsid w:val="00440497"/>
  </w:style>
  <w:style w:type="character" w:customStyle="1" w:styleId="text">
    <w:name w:val="text"/>
    <w:basedOn w:val="Domylnaczcionkaakapitu"/>
    <w:rsid w:val="00440497"/>
  </w:style>
  <w:style w:type="character" w:customStyle="1" w:styleId="author-ref">
    <w:name w:val="author-ref"/>
    <w:basedOn w:val="Domylnaczcionkaakapitu"/>
    <w:rsid w:val="004404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rsid w:val="00244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44202"/>
    <w:rPr>
      <w:b/>
      <w:bCs/>
    </w:rPr>
  </w:style>
  <w:style w:type="paragraph" w:styleId="Akapitzlist">
    <w:name w:val="List Paragraph"/>
    <w:basedOn w:val="Normalny"/>
    <w:uiPriority w:val="34"/>
    <w:qFormat/>
    <w:rsid w:val="00A40CF9"/>
    <w:pPr>
      <w:ind w:left="720"/>
      <w:contextualSpacing/>
    </w:pPr>
    <w:rPr>
      <w:rFonts w:eastAsiaTheme="minorEastAsia"/>
      <w:lang w:eastAsia="pl-PL"/>
    </w:rPr>
  </w:style>
  <w:style w:type="character" w:customStyle="1" w:styleId="react-xocs-alternative-link">
    <w:name w:val="react-xocs-alternative-link"/>
    <w:basedOn w:val="Domylnaczcionkaakapitu"/>
    <w:rsid w:val="00440497"/>
  </w:style>
  <w:style w:type="character" w:customStyle="1" w:styleId="given-name">
    <w:name w:val="given-name"/>
    <w:basedOn w:val="Domylnaczcionkaakapitu"/>
    <w:rsid w:val="00440497"/>
  </w:style>
  <w:style w:type="character" w:customStyle="1" w:styleId="text">
    <w:name w:val="text"/>
    <w:basedOn w:val="Domylnaczcionkaakapitu"/>
    <w:rsid w:val="00440497"/>
  </w:style>
  <w:style w:type="character" w:customStyle="1" w:styleId="author-ref">
    <w:name w:val="author-ref"/>
    <w:basedOn w:val="Domylnaczcionkaakapitu"/>
    <w:rsid w:val="00440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9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Palejko</dc:creator>
  <cp:keywords/>
  <dc:description/>
  <cp:lastModifiedBy>Anna Palejko</cp:lastModifiedBy>
  <cp:revision>23</cp:revision>
  <cp:lastPrinted>2025-10-16T09:33:00Z</cp:lastPrinted>
  <dcterms:created xsi:type="dcterms:W3CDTF">2025-10-15T07:21:00Z</dcterms:created>
  <dcterms:modified xsi:type="dcterms:W3CDTF">2026-08-12T09:50:00Z</dcterms:modified>
</cp:coreProperties>
</file>