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30" w:after="130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b/>
          <w:sz w:val="24"/>
          <w:szCs w:val="24"/>
          <w:u w:val="single"/>
        </w:rPr>
        <w:t>Obligatoryjne elementy informacji dla uczestnika lub jego przedstawiciela ustawowego.</w:t>
      </w:r>
    </w:p>
    <w:p>
      <w:pPr>
        <w:pStyle w:val="Normal"/>
        <w:spacing w:lineRule="auto" w:line="240" w:before="130" w:after="130"/>
        <w:rPr>
          <w:rFonts w:ascii="Times New Roman" w:hAnsi="Times New Roman" w:cs="" w:cstheme="majorBidi"/>
          <w:sz w:val="24"/>
          <w:szCs w:val="24"/>
          <w:u w:val="single"/>
        </w:rPr>
      </w:pPr>
      <w:r>
        <w:rPr>
          <w:rFonts w:cs="" w:cstheme="majorBidi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360" w:before="130" w:after="130"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Uczestnik lub jego przedstawiciel ustawowy przed wyrażeniem zgody na przeprowadzenie eksperymentu medycznego, otrzymuje informację ustną i pisemną, przedstawioną w sposób zrozumiały.</w:t>
      </w:r>
    </w:p>
    <w:p>
      <w:pPr>
        <w:pStyle w:val="Normal"/>
        <w:spacing w:lineRule="auto" w:line="360" w:before="130" w:after="130"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Przekazanie informacji jest odnotowywane w dokumentacji eksperymentu.</w:t>
      </w:r>
    </w:p>
    <w:p>
      <w:pPr>
        <w:pStyle w:val="Normal"/>
        <w:spacing w:lineRule="auto" w:line="360" w:before="130" w:after="130"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b/>
          <w:bCs/>
          <w:sz w:val="20"/>
          <w:szCs w:val="20"/>
          <w:u w:val="single"/>
        </w:rPr>
        <w:t>Informacja, obejmuje: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cel eksperymentu medycznego;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pełny plan eksperymentu medycznego;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ryzyko związane z eksperymentem;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korzyści związane z eksperymentem;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zakres i długość trwania procedur, które mają być stosowane, w szczególności wszelkie uciążliwości i zagrożenia dla zdrowia uczestnika związane z jego udziałem w eksperymencie;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ustalenia dotyczące sposobu reagowania na zdarzenia niepożądane;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ustalenia dotyczące sposobu reagowania na pytania i wątpliwości uczestnika;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środki powzięte w celu zapewnienia poszanowania życia prywatnego uczestnika;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środki powzięte w celu zapewnienia poufności jego danych osobowych;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zasady dostępu do informacji istotnych dla uczestnika, uzyskanych podczas realizacji tego eksperymentu oraz do ogólnych jego wyników;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zasady wypłaty odszkodowania w sytuacji powstania szkody;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wszelkie przewidywane dalsze użycie wyników eksperymentu medycznego, danych oraz materiału biologicznego zgromadzonego w jego trakcie, w tym jego użycia dla celów komercyjnych;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źródła finansowania eksperymentu medycznego;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zasady dostępu do leczenia eksperymentalnego po zakończeniu udziału w eksperymencie leczniczym, jeżeli okaże się, że u danego uczestnika eksperyment ten przyniósł korzyści dla jego zdrowia;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możliwości i zasady dostępu do innego eksperymentu leczniczego, jeżeli może on przynieść uczestnikowi korzyści dla jego zdrowia.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  <w:sz w:val="20"/>
          <w:szCs w:val="20"/>
        </w:rPr>
        <w:t>opis anonimizacji danych oraz materiału biologicznego (jeśli dotyczy)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  <w:sz w:val="20"/>
          <w:szCs w:val="20"/>
        </w:rPr>
        <w:t xml:space="preserve">w przypadku pobierania materiału biologicznego, informacje dotyczące  sposobu jego przechowywania i utylizacji po zakończeniu badania 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  <w:sz w:val="20"/>
          <w:szCs w:val="20"/>
        </w:rPr>
        <w:t>dane kontaktowe badacza mogącego udzielić dodatkowych informacji na temat badania lub w przypadku wystąpienia działań niepożądanych (jeśli dotyczy); dane poczty elektronicznej w domenie ipin.edu.pl lub szpitala, w którym prowadzone ma być badanie</w:t>
      </w:r>
      <w:r>
        <w:rPr>
          <w:rFonts w:cs="" w:ascii="Times New Roman" w:hAnsi="Times New Roman" w:cstheme="majorBidi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spacing w:lineRule="auto" w:line="360" w:before="130" w:after="130"/>
        <w:contextualSpacing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  <w:sz w:val="20"/>
          <w:szCs w:val="20"/>
        </w:rPr>
        <w:t>w przypadku pobierania materiału biologicznego, informacje o jego wykorzystaniu w celach naukowych oraz okresie i miejscu jego przechowywania w formie zakodowanej/anonimowej</w:t>
      </w:r>
    </w:p>
    <w:p>
      <w:pPr>
        <w:pStyle w:val="ListParagraph"/>
        <w:spacing w:lineRule="auto" w:line="360" w:before="130" w:after="130"/>
        <w:ind w:left="580"/>
        <w:contextualSpacing/>
        <w:jc w:val="both"/>
        <w:rPr>
          <w:rFonts w:ascii="Times New Roman" w:hAnsi="Times New Roman" w:cs="" w:cstheme="majorBidi"/>
          <w:sz w:val="20"/>
          <w:szCs w:val="20"/>
        </w:rPr>
      </w:pPr>
      <w:r>
        <w:rPr>
          <w:rFonts w:cs="" w:cstheme="majorBidi" w:ascii="Times New Roman" w:hAnsi="Times New Roman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130" w:after="130"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Dodatkowo uczestnik przed rozpoczęciem eksperymentu medycznego jest informowany o swoich prawach oraz o ochronie gwarantowanej w przepisach prawa, w szczególności o przysługującym mu prawie do odmowy udzielenia zgody i do wycofania zgody w każdym momencie, bez podania przyczyny i bez negatywnych konsekwencji prawnych w postaci jakiejkolwiek dyskryminacji, w tym w zakresie prawa do opieki zdrowotnej.</w:t>
      </w:r>
    </w:p>
    <w:p>
      <w:pPr>
        <w:pStyle w:val="Normal"/>
        <w:spacing w:lineRule="auto" w:line="360" w:before="130" w:after="130"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 przypadku gdy natychmiastowe przerwanie eksperymentu medycznego mogłoby spowodować niebezpieczeństwo dla życia lub zdrowia jego uczestnika, osoba przeprowadzająca eksperyment medyczny ma obowiązek poinformować uczestnika o tych okolicznościach.</w:t>
      </w:r>
    </w:p>
    <w:p>
      <w:pPr>
        <w:pStyle w:val="Normal"/>
        <w:spacing w:lineRule="auto" w:line="240" w:before="130" w:after="130"/>
        <w:jc w:val="both"/>
        <w:rPr>
          <w:rFonts w:ascii="Times New Roman" w:hAnsi="Times New Roman" w:cs="" w:cstheme="majorBidi"/>
          <w:sz w:val="20"/>
          <w:szCs w:val="20"/>
        </w:rPr>
      </w:pPr>
      <w:r>
        <w:rPr>
          <w:rFonts w:cs="" w:cstheme="majorBidi" w:ascii="Times New Roman" w:hAnsi="Times New Roman"/>
          <w:sz w:val="20"/>
          <w:szCs w:val="20"/>
        </w:rPr>
      </w:r>
    </w:p>
    <w:p>
      <w:pPr>
        <w:pStyle w:val="Normal"/>
        <w:spacing w:lineRule="auto" w:line="240" w:before="130" w:after="130"/>
        <w:jc w:val="both"/>
        <w:rPr>
          <w:rFonts w:ascii="Times New Roman" w:hAnsi="Times New Roman" w:cs="" w:cstheme="majorBidi"/>
          <w:sz w:val="20"/>
          <w:szCs w:val="20"/>
        </w:rPr>
      </w:pPr>
      <w:r>
        <w:rPr>
          <w:rFonts w:cs="" w:cstheme="majorBidi" w:ascii="Times New Roman" w:hAnsi="Times New Roman"/>
          <w:sz w:val="20"/>
          <w:szCs w:val="20"/>
        </w:rPr>
      </w:r>
    </w:p>
    <w:p>
      <w:pPr>
        <w:pStyle w:val="Normal"/>
        <w:spacing w:lineRule="auto" w:line="240" w:before="130" w:after="130"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b/>
          <w:sz w:val="24"/>
          <w:szCs w:val="24"/>
          <w:u w:val="single"/>
        </w:rPr>
        <w:t>Zgoda na przeprowadzenie eksperymentu medycznego:</w:t>
      </w:r>
    </w:p>
    <w:p>
      <w:pPr>
        <w:pStyle w:val="Normal"/>
        <w:spacing w:lineRule="auto" w:line="240" w:before="130" w:after="130"/>
        <w:jc w:val="both"/>
        <w:rPr>
          <w:rFonts w:ascii="Times New Roman" w:hAnsi="Times New Roman" w:eastAsia="Helvetica" w:cs="" w:cstheme="majorBidi"/>
          <w:b/>
          <w:sz w:val="24"/>
          <w:szCs w:val="24"/>
        </w:rPr>
      </w:pPr>
      <w:r>
        <w:rPr>
          <w:rFonts w:eastAsia="Helvetica" w:cs="" w:cstheme="majorBidi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Eksperyment medyczny może być przeprowadzony po uzyskaniu zgody jego uczestnika lub osoby, której skutki eksperymentu mogą bezpośrednio dotknąć.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 przypadku uczestnika będącego osobą małoletnią, która nie ukończyła 13. roku życia, zgody, o której mowa w ust. 1, udziela jej przedstawiciel ustawowy.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 przypadku uczestnika będącego osobą małoletnią, która ukończyła 13. rok życia, jest wymagana zgoda takiej osoby oraz jej przedstawiciela ustawowego. Jeżeli między tymi osobami nie ma porozumienia, sprawę rozstrzyga sąd opiekuńczy.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 sprawach, o których mowa w ust. 2 i 3, stosuje się art. 97 § 2 ustawy z dnia 25 lutego 1964 r. - Kodeks rodzinny i opiekuńczy (Dz.U. z 2023 r. poz. 2809).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 przypadku uczestnika będącego osobą ubezwłasnowolnioną całkowicie zgody na udział w eksperymencie leczniczym udziela jej opiekun prawny. Przepisu art.156 ustawy z dnia 25 lutego 1964 r. - Kodeks rodzinny i opiekuńczy nie stosuje się. Jeżeli osoba ubezwłasnowolniona całkowicie ma dostateczne rozeznanie, wymagana jest również jej zgoda. Przepis ust. 3 stosuje się odpowiednio.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 przypadku uczestnika będącego osobą ubezwłasnowolnioną częściowo niepozostającą pod władzą rodzicielską zgody na udział w eksperymencie leczniczym udziela kurator i ta osoba. Przepis ust. 3 stosuje się odpowiednio.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 przypadku uczestnika będącego osobą posiadającą pełną zdolność do czynności prawnych, lecz niebędącą w stanie z rozeznaniem wyrazić zgody, zezwolenia na przeprowadzenie eksperymentu leczniczego udziela sąd opiekuńczy właściwy miejscowo, w którego okręgu eksperyment zostanie przeprowadzony.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Zgoda, o której mowa w ust. 1-6, wymaga formy pisemnej. W przypadku niemożności wyrażenia pisemnej zgody za równoważne uważa się wyrażenie zgody ustnie złożone w obecności dwóch bezstronnych świadków posiadających pełną zdolność do czynności prawnych. Zgoda tak złożona podlega odnotowaniu w dokumentacji eksperymentu medycznego.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 przypadku gdy przedstawiciel ustawowy odmawia zgody na udział uczestnika w eksperymencie leczniczym, zezwolenia na przeprowadzenie eksperymentu może udzielić sąd opiekuńczy.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W przypadku gdy przedstawiciel ustawowy lub uczestnik odmawia zgody na udział w eksperymencie badawczym, jego przeprowadzenie jest zabronione.</w:t>
      </w:r>
    </w:p>
    <w:p>
      <w:pPr>
        <w:pStyle w:val="ListParagraph"/>
        <w:numPr>
          <w:ilvl w:val="0"/>
          <w:numId w:val="2"/>
        </w:numPr>
        <w:spacing w:lineRule="auto" w:line="360" w:before="130" w:after="130"/>
        <w:ind w:hanging="360" w:left="567"/>
        <w:contextualSpacing/>
        <w:jc w:val="both"/>
        <w:rPr>
          <w:rFonts w:ascii="Times New Roman" w:hAnsi="Times New Roman"/>
        </w:rPr>
      </w:pPr>
      <w:r>
        <w:rPr>
          <w:rFonts w:eastAsia="Helvetica" w:cs="" w:ascii="Times New Roman" w:hAnsi="Times New Roman" w:cstheme="majorBidi"/>
          <w:sz w:val="20"/>
          <w:szCs w:val="20"/>
        </w:rPr>
        <w:t>Z wnioskiem o wyrażenie zezwolenia sądowego na udział w eksperymencie medycznym lub w sprawach, o których mowa w ust. 3-6, może wystąpić przedstawiciel ustawowy uczestnika albo podmiot zamierzający przeprowadzić eksperyment medyczny.</w:t>
      </w:r>
    </w:p>
    <w:p>
      <w:pPr>
        <w:pStyle w:val="Normal"/>
        <w:spacing w:before="0" w:after="160"/>
        <w:rPr>
          <w:rFonts w:ascii="Times New Roman" w:hAnsi="Times New Roman" w:cs="" w:cstheme="majorBidi"/>
          <w:sz w:val="20"/>
          <w:szCs w:val="20"/>
        </w:rPr>
      </w:pPr>
      <w:r>
        <w:rPr>
          <w:rFonts w:cs="" w:cstheme="majorBidi" w:ascii="Times New Roman" w:hAnsi="Times New Roman"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f22ac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LibreOffice/24.2.4.2$Windows_X86_64 LibreOffice_project/51a6219feb6075d9a4c46691dcfe0cd9c4fff3c2</Application>
  <AppVersion>15.0000</AppVersion>
  <Pages>3</Pages>
  <Words>783</Words>
  <Characters>4702</Characters>
  <CharactersWithSpaces>5475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2025-10-08T09:14:00Z</dcterms:created>
  <dc:creator>Łukasz Kozłowski</dc:creator>
  <dc:description/>
  <dc:language>pl-PL</dc:language>
  <cp:lastModifiedBy/>
  <dcterms:modified xsi:type="dcterms:W3CDTF">2025-10-20T09:52:11Z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