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5F" w:rsidRDefault="0030365F" w:rsidP="0030365F">
      <w:pPr>
        <w:pStyle w:val="style4"/>
      </w:pPr>
      <w:r>
        <w:rPr>
          <w:rStyle w:val="Pogrubienie"/>
        </w:rPr>
        <w:t xml:space="preserve">BADANIE W KIERUNKU OBECNOŚCI OLIGOKLONALNYCH IgG W PŁYNIE MÓZGOWO-RDZENIOWYM </w:t>
      </w:r>
      <w:r>
        <w:br/>
      </w:r>
      <w:r>
        <w:rPr>
          <w:rStyle w:val="Pogrubienie"/>
        </w:rPr>
        <w:t>_______________________________________________________________________</w:t>
      </w:r>
    </w:p>
    <w:p w:rsidR="0030365F" w:rsidRDefault="0030365F" w:rsidP="0030365F">
      <w:pPr>
        <w:pStyle w:val="style4"/>
      </w:pPr>
      <w:r>
        <w:rPr>
          <w:rStyle w:val="Pogrubienie"/>
        </w:rPr>
        <w:t>Materiał niezbędny do wykonania badania:</w:t>
      </w:r>
      <w:r>
        <w:br/>
        <w:t xml:space="preserve">► Surowica: 2 ml lub krew pobrana „na skrzep”: ok. 3-5 ml </w:t>
      </w:r>
      <w:r>
        <w:rPr>
          <w:rStyle w:val="Pogrubienie"/>
        </w:rPr>
        <w:t>oraz</w:t>
      </w:r>
      <w:r>
        <w:br/>
        <w:t>► Płyn mózgowo-rdzeniowy: 2 ml</w:t>
      </w:r>
    </w:p>
    <w:p w:rsidR="006B611B" w:rsidRPr="006B611B" w:rsidRDefault="006B611B" w:rsidP="006B611B">
      <w:pPr>
        <w:pStyle w:val="style4"/>
        <w:jc w:val="center"/>
        <w:rPr>
          <w:b/>
          <w:color w:val="FF0000"/>
        </w:rPr>
      </w:pPr>
      <w:r w:rsidRPr="006B611B">
        <w:rPr>
          <w:b/>
          <w:color w:val="FF0000"/>
        </w:rPr>
        <w:t>DOPUSZCZALNA RÓŻNICA</w:t>
      </w:r>
      <w:r>
        <w:rPr>
          <w:b/>
          <w:color w:val="FF0000"/>
        </w:rPr>
        <w:t xml:space="preserve"> POMIĘDZY POBRANIEM SUROWICY A</w:t>
      </w:r>
      <w:r w:rsidRPr="006B611B">
        <w:rPr>
          <w:b/>
          <w:color w:val="FF0000"/>
        </w:rPr>
        <w:t xml:space="preserve"> PŁYNU MÓZGOWEGO</w:t>
      </w:r>
      <w:r>
        <w:rPr>
          <w:b/>
          <w:color w:val="FF0000"/>
        </w:rPr>
        <w:t>-RDZENIOWEGO</w:t>
      </w:r>
      <w:r w:rsidRPr="006B611B">
        <w:rPr>
          <w:b/>
          <w:color w:val="FF0000"/>
        </w:rPr>
        <w:t xml:space="preserve"> WYNOSI 12 GODZIN!</w:t>
      </w:r>
    </w:p>
    <w:p w:rsidR="0030365F" w:rsidRDefault="0030365F" w:rsidP="0030365F">
      <w:pPr>
        <w:pStyle w:val="style4"/>
      </w:pPr>
      <w:r>
        <w:rPr>
          <w:rStyle w:val="Pogrubienie"/>
        </w:rPr>
        <w:t xml:space="preserve">Możliwość przysłania materiału bez wstępnej obróbki: </w:t>
      </w:r>
      <w:r>
        <w:t>Tak: krew „na skrzep”, należy przysłać do laboratorium w ciągu godziny od pobrania wraz z płynem mózgowo-rdzeniowym </w:t>
      </w:r>
    </w:p>
    <w:p w:rsidR="001D430A" w:rsidRPr="0073155B" w:rsidRDefault="0030365F" w:rsidP="0030365F">
      <w:pPr>
        <w:pStyle w:val="style4"/>
        <w:rPr>
          <w:rStyle w:val="Pogrubienie"/>
          <w:b w:val="0"/>
          <w:bCs w:val="0"/>
        </w:rPr>
      </w:pPr>
      <w:r>
        <w:rPr>
          <w:rStyle w:val="Pogrubienie"/>
        </w:rPr>
        <w:t>Temperatura/ czas przechowywania materiału przed wysyłką:</w:t>
      </w:r>
      <w:r>
        <w:rPr>
          <w:b/>
          <w:bCs/>
        </w:rPr>
        <w:br/>
      </w:r>
      <w:r>
        <w:t>► do 24 godzin: nie schładzać</w:t>
      </w:r>
      <w:r>
        <w:br/>
        <w:t>► do 5 dni: 4-8oC</w:t>
      </w:r>
      <w:r>
        <w:br/>
        <w:t>► powyżej 5 dni: natychmiast po pobraniu materiał należy zamrozić</w:t>
      </w:r>
      <w:r>
        <w:br/>
        <w:t>w temperaturze &lt;=70oC</w:t>
      </w:r>
      <w:r>
        <w:br/>
        <w:t> </w:t>
      </w:r>
      <w:r>
        <w:br/>
      </w:r>
      <w:r>
        <w:rPr>
          <w:rStyle w:val="Pogrubienie"/>
        </w:rPr>
        <w:t>Temperatura wysyłki:</w:t>
      </w:r>
      <w:r>
        <w:br/>
        <w:t>► do 24 godzin: nie schładzać</w:t>
      </w:r>
      <w:r>
        <w:br/>
        <w:t>► materiał schłodzony: 4-8oC</w:t>
      </w:r>
      <w:r>
        <w:br/>
        <w:t>► materiał mrożony: ≤-70oC (w suchym lodzie)</w:t>
      </w:r>
      <w:r>
        <w:br/>
      </w:r>
      <w:r>
        <w:br/>
      </w:r>
      <w:r>
        <w:rPr>
          <w:rStyle w:val="Pogrubienie"/>
        </w:rPr>
        <w:t>Etykieta probówki:</w:t>
      </w:r>
      <w:r>
        <w:br/>
        <w:t>► Nazwisko i imię pacjenta</w:t>
      </w:r>
      <w:r>
        <w:br/>
        <w:t>► Data urodzenia</w:t>
      </w:r>
      <w:r>
        <w:br/>
        <w:t>► Data pobrania materiału na badania</w:t>
      </w:r>
      <w:r>
        <w:br/>
      </w:r>
      <w:r>
        <w:br/>
      </w:r>
      <w:r>
        <w:rPr>
          <w:rStyle w:val="Pogrubienie"/>
        </w:rPr>
        <w:t>Czas oczekiwania na wynik badania:</w:t>
      </w:r>
      <w:r>
        <w:t xml:space="preserve"> 1-2 tygodnie</w:t>
      </w:r>
      <w:r>
        <w:br/>
        <w:t> </w:t>
      </w:r>
      <w:r>
        <w:br/>
      </w:r>
      <w:r>
        <w:rPr>
          <w:rStyle w:val="Pogrubienie"/>
        </w:rPr>
        <w:t>Koszt badania:</w:t>
      </w:r>
      <w:r>
        <w:t xml:space="preserve"> 280,00zł</w:t>
      </w:r>
      <w:r>
        <w:br/>
        <w:t> </w:t>
      </w:r>
      <w:r>
        <w:br/>
      </w:r>
      <w:r>
        <w:rPr>
          <w:rStyle w:val="Pogrubienie"/>
        </w:rPr>
        <w:t xml:space="preserve">Metoda badania: </w:t>
      </w:r>
      <w:r>
        <w:t>elektroforeza białe</w:t>
      </w:r>
      <w:r w:rsidR="002F7582">
        <w:t xml:space="preserve">k metodą </w:t>
      </w:r>
      <w:proofErr w:type="spellStart"/>
      <w:r w:rsidR="002F7582">
        <w:t>izoelektroogniskowania</w:t>
      </w:r>
      <w:proofErr w:type="spellEnd"/>
      <w:r w:rsidR="002F7582">
        <w:t>.</w:t>
      </w:r>
    </w:p>
    <w:p w:rsidR="0073155B" w:rsidRDefault="001D430A" w:rsidP="001D430A">
      <w:pPr>
        <w:pStyle w:val="style4"/>
        <w:rPr>
          <w:b/>
        </w:rPr>
      </w:pPr>
      <w:r w:rsidRPr="0030365F">
        <w:rPr>
          <w:rStyle w:val="Pogrubienie"/>
          <w:b w:val="0"/>
        </w:rPr>
        <w:t xml:space="preserve">Uwaga: </w:t>
      </w:r>
      <w:r w:rsidRPr="0030365F">
        <w:rPr>
          <w:b/>
        </w:rPr>
        <w:t xml:space="preserve">Wykonanie badania jest możliwe tylko po uprzednim określeniu stężenia </w:t>
      </w:r>
      <w:proofErr w:type="spellStart"/>
      <w:r w:rsidRPr="00BF0EDF">
        <w:rPr>
          <w:b/>
          <w:u w:val="single"/>
        </w:rPr>
        <w:t>IgG</w:t>
      </w:r>
      <w:proofErr w:type="spellEnd"/>
      <w:r w:rsidRPr="00BF0EDF">
        <w:rPr>
          <w:b/>
          <w:u w:val="single"/>
        </w:rPr>
        <w:t xml:space="preserve"> w płynie mózgowo-rdzeniowym i w surowicy</w:t>
      </w:r>
      <w:r w:rsidRPr="0030365F">
        <w:rPr>
          <w:b/>
        </w:rPr>
        <w:t>, dlatego:</w:t>
      </w:r>
    </w:p>
    <w:p w:rsidR="0073155B" w:rsidRPr="0073155B" w:rsidRDefault="001D430A" w:rsidP="0073155B">
      <w:pPr>
        <w:pStyle w:val="style4"/>
        <w:numPr>
          <w:ilvl w:val="0"/>
          <w:numId w:val="1"/>
        </w:numPr>
      </w:pPr>
      <w:r w:rsidRPr="0073155B">
        <w:t>jeśli mają Państwo możliwość wykonania tych badań w swoim ośrodku, prosimy o dołączenie wyników do skierowania na badanie w kierunku obec</w:t>
      </w:r>
      <w:r w:rsidR="0073155B" w:rsidRPr="0073155B">
        <w:t xml:space="preserve">ności oligoklonalnych </w:t>
      </w:r>
      <w:proofErr w:type="spellStart"/>
      <w:r w:rsidR="0073155B" w:rsidRPr="0073155B">
        <w:t>IgG</w:t>
      </w:r>
      <w:proofErr w:type="spellEnd"/>
      <w:r w:rsidR="0073155B" w:rsidRPr="0073155B">
        <w:t xml:space="preserve"> w PMR</w:t>
      </w:r>
    </w:p>
    <w:p w:rsidR="0073155B" w:rsidRPr="0073155B" w:rsidRDefault="001D430A" w:rsidP="0073155B">
      <w:pPr>
        <w:pStyle w:val="style4"/>
        <w:numPr>
          <w:ilvl w:val="0"/>
          <w:numId w:val="1"/>
        </w:numPr>
      </w:pPr>
      <w:r w:rsidRPr="0073155B">
        <w:t xml:space="preserve">jeśli nie mają Państwo możliwości określenia stężenia </w:t>
      </w:r>
      <w:proofErr w:type="spellStart"/>
      <w:r w:rsidRPr="0073155B">
        <w:t>Ig</w:t>
      </w:r>
      <w:r w:rsidR="0063779B" w:rsidRPr="0073155B">
        <w:t>G</w:t>
      </w:r>
      <w:proofErr w:type="spellEnd"/>
      <w:r w:rsidR="0063779B" w:rsidRPr="0073155B">
        <w:t xml:space="preserve"> w PMR i w surowicy, istnieje możliwość wykonania tego badania w naszej pracowni – prosimy o dołączenie dodatkowego skierowania na badanie </w:t>
      </w:r>
      <w:r w:rsidR="0073155B" w:rsidRPr="0073155B">
        <w:t>stężenia</w:t>
      </w:r>
      <w:r w:rsidR="00127C5F" w:rsidRPr="0073155B">
        <w:t xml:space="preserve"> </w:t>
      </w:r>
      <w:proofErr w:type="spellStart"/>
      <w:r w:rsidR="0073155B" w:rsidRPr="0073155B">
        <w:t>IgG</w:t>
      </w:r>
      <w:proofErr w:type="spellEnd"/>
      <w:r w:rsidR="0073155B" w:rsidRPr="0073155B">
        <w:t xml:space="preserve"> w surowicy i PMR</w:t>
      </w:r>
    </w:p>
    <w:p w:rsidR="0073155B" w:rsidRDefault="00EE0425" w:rsidP="0030365F">
      <w:pPr>
        <w:pStyle w:val="style4"/>
        <w:numPr>
          <w:ilvl w:val="0"/>
          <w:numId w:val="1"/>
        </w:numPr>
      </w:pPr>
      <w:r w:rsidRPr="0073155B">
        <w:t xml:space="preserve">w przypadku braku informacji o stężeniu </w:t>
      </w:r>
      <w:proofErr w:type="spellStart"/>
      <w:r w:rsidRPr="0073155B">
        <w:t>IgG</w:t>
      </w:r>
      <w:proofErr w:type="spellEnd"/>
      <w:r w:rsidRPr="0073155B">
        <w:t xml:space="preserve"> w surowicy i PMR badanie zostanie wykonane automatycznie za dodatkową opłatą</w:t>
      </w:r>
      <w:r w:rsidR="002B57DD">
        <w:t xml:space="preserve"> 270 zł za oznaczenie w jednym materiale</w:t>
      </w:r>
    </w:p>
    <w:p w:rsidR="002F7582" w:rsidRDefault="0030365F" w:rsidP="002B57DD">
      <w:pPr>
        <w:pStyle w:val="style4"/>
      </w:pPr>
      <w:bookmarkStart w:id="0" w:name="_GoBack"/>
      <w:bookmarkEnd w:id="0"/>
      <w:r>
        <w:rPr>
          <w:rStyle w:val="Pogrubienie"/>
        </w:rPr>
        <w:lastRenderedPageBreak/>
        <w:t>Interpretacja wyników badania:</w:t>
      </w:r>
      <w:r>
        <w:t xml:space="preserve"> W celu prawidłowej interpretacji wyników badania, dokonywany jest równoczesny rozdział surowicy i płynu mózgowo-rdzeniowego. </w:t>
      </w:r>
    </w:p>
    <w:p w:rsidR="001D430A" w:rsidRDefault="001D430A" w:rsidP="0030365F">
      <w:pPr>
        <w:pStyle w:val="style4"/>
      </w:pPr>
      <w:r w:rsidRPr="001D430A">
        <w:rPr>
          <w:b/>
        </w:rPr>
        <w:t xml:space="preserve">Lewczuk P. </w:t>
      </w:r>
      <w:proofErr w:type="spellStart"/>
      <w:r w:rsidRPr="001D430A">
        <w:rPr>
          <w:b/>
        </w:rPr>
        <w:t>Mantur</w:t>
      </w:r>
      <w:proofErr w:type="spellEnd"/>
      <w:r w:rsidRPr="001D430A">
        <w:rPr>
          <w:b/>
        </w:rPr>
        <w:t xml:space="preserve"> M: Płyn mózgowo-rdzeniowy. Badanie i interpretacja wyników</w:t>
      </w:r>
      <w: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257"/>
        <w:gridCol w:w="2303"/>
      </w:tblGrid>
      <w:tr w:rsidR="002F7582" w:rsidTr="00184F93">
        <w:tc>
          <w:tcPr>
            <w:tcW w:w="817" w:type="dxa"/>
            <w:shd w:val="pct10" w:color="auto" w:fill="auto"/>
            <w:vAlign w:val="center"/>
          </w:tcPr>
          <w:p w:rsidR="002F7582" w:rsidRPr="002F7582" w:rsidRDefault="002F7582" w:rsidP="00184F93">
            <w:pPr>
              <w:pStyle w:val="style4"/>
              <w:jc w:val="center"/>
              <w:rPr>
                <w:b/>
              </w:rPr>
            </w:pPr>
            <w:r w:rsidRPr="002F7582">
              <w:rPr>
                <w:b/>
              </w:rPr>
              <w:t>TYP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2F7582" w:rsidRPr="002F7582" w:rsidRDefault="002F7582" w:rsidP="00184F93">
            <w:pPr>
              <w:pStyle w:val="style4"/>
              <w:jc w:val="center"/>
              <w:rPr>
                <w:b/>
              </w:rPr>
            </w:pPr>
            <w:r w:rsidRPr="002F7582">
              <w:rPr>
                <w:b/>
              </w:rPr>
              <w:t>PRĄŻKI W SUROWICY</w:t>
            </w:r>
          </w:p>
        </w:tc>
        <w:tc>
          <w:tcPr>
            <w:tcW w:w="3257" w:type="dxa"/>
            <w:shd w:val="pct10" w:color="auto" w:fill="auto"/>
            <w:vAlign w:val="center"/>
          </w:tcPr>
          <w:p w:rsidR="002F7582" w:rsidRPr="002F7582" w:rsidRDefault="002F7582" w:rsidP="00184F93">
            <w:pPr>
              <w:pStyle w:val="style4"/>
              <w:jc w:val="center"/>
              <w:rPr>
                <w:b/>
              </w:rPr>
            </w:pPr>
            <w:r w:rsidRPr="002F7582">
              <w:rPr>
                <w:b/>
              </w:rPr>
              <w:t>PRĄŻKI W PMR</w:t>
            </w:r>
          </w:p>
        </w:tc>
        <w:tc>
          <w:tcPr>
            <w:tcW w:w="2303" w:type="dxa"/>
            <w:shd w:val="pct10" w:color="auto" w:fill="auto"/>
            <w:vAlign w:val="center"/>
          </w:tcPr>
          <w:p w:rsidR="002F7582" w:rsidRPr="002F7582" w:rsidRDefault="002F7582" w:rsidP="00184F93">
            <w:pPr>
              <w:pStyle w:val="style4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2F7582">
              <w:rPr>
                <w:b/>
              </w:rPr>
              <w:t>NTERPRETACJA</w:t>
            </w:r>
          </w:p>
        </w:tc>
      </w:tr>
      <w:tr w:rsidR="002F7582" w:rsidTr="002F7582">
        <w:tc>
          <w:tcPr>
            <w:tcW w:w="817" w:type="dxa"/>
            <w:shd w:val="pct10" w:color="auto" w:fill="auto"/>
          </w:tcPr>
          <w:p w:rsidR="002F7582" w:rsidRPr="002F7582" w:rsidRDefault="002F7582" w:rsidP="0030365F">
            <w:pPr>
              <w:pStyle w:val="style4"/>
              <w:rPr>
                <w:b/>
              </w:rPr>
            </w:pPr>
            <w:r w:rsidRPr="002F7582">
              <w:rPr>
                <w:b/>
              </w:rPr>
              <w:t>1</w:t>
            </w:r>
          </w:p>
        </w:tc>
        <w:tc>
          <w:tcPr>
            <w:tcW w:w="2835" w:type="dxa"/>
          </w:tcPr>
          <w:p w:rsidR="002F7582" w:rsidRDefault="002F7582" w:rsidP="0030365F">
            <w:pPr>
              <w:pStyle w:val="style4"/>
            </w:pPr>
            <w:r>
              <w:t>brak</w:t>
            </w:r>
          </w:p>
        </w:tc>
        <w:tc>
          <w:tcPr>
            <w:tcW w:w="3257" w:type="dxa"/>
          </w:tcPr>
          <w:p w:rsidR="002F7582" w:rsidRDefault="00184F93" w:rsidP="0030365F">
            <w:pPr>
              <w:pStyle w:val="style4"/>
            </w:pPr>
            <w:r>
              <w:t>brak</w:t>
            </w:r>
          </w:p>
        </w:tc>
        <w:tc>
          <w:tcPr>
            <w:tcW w:w="2303" w:type="dxa"/>
          </w:tcPr>
          <w:p w:rsidR="002F7582" w:rsidRDefault="00184F93" w:rsidP="0030365F">
            <w:pPr>
              <w:pStyle w:val="style4"/>
            </w:pPr>
            <w:r>
              <w:t>Sytuacja prawidłowa</w:t>
            </w:r>
          </w:p>
        </w:tc>
      </w:tr>
      <w:tr w:rsidR="002F7582" w:rsidTr="002F7582">
        <w:tc>
          <w:tcPr>
            <w:tcW w:w="817" w:type="dxa"/>
            <w:shd w:val="pct10" w:color="auto" w:fill="auto"/>
          </w:tcPr>
          <w:p w:rsidR="002F7582" w:rsidRPr="002F7582" w:rsidRDefault="002F7582" w:rsidP="0030365F">
            <w:pPr>
              <w:pStyle w:val="style4"/>
              <w:rPr>
                <w:b/>
              </w:rPr>
            </w:pPr>
            <w:r w:rsidRPr="002F7582">
              <w:rPr>
                <w:b/>
              </w:rPr>
              <w:t>2</w:t>
            </w:r>
          </w:p>
        </w:tc>
        <w:tc>
          <w:tcPr>
            <w:tcW w:w="2835" w:type="dxa"/>
          </w:tcPr>
          <w:p w:rsidR="002F7582" w:rsidRDefault="002F7582" w:rsidP="0030365F">
            <w:pPr>
              <w:pStyle w:val="style4"/>
            </w:pPr>
            <w:r>
              <w:t>brak</w:t>
            </w:r>
          </w:p>
        </w:tc>
        <w:tc>
          <w:tcPr>
            <w:tcW w:w="3257" w:type="dxa"/>
          </w:tcPr>
          <w:p w:rsidR="002F7582" w:rsidRDefault="00184F93" w:rsidP="0030365F">
            <w:pPr>
              <w:pStyle w:val="style4"/>
            </w:pPr>
            <w:r>
              <w:t>obecne</w:t>
            </w:r>
          </w:p>
        </w:tc>
        <w:tc>
          <w:tcPr>
            <w:tcW w:w="2303" w:type="dxa"/>
          </w:tcPr>
          <w:p w:rsidR="002F7582" w:rsidRDefault="00184F93" w:rsidP="0030365F">
            <w:pPr>
              <w:pStyle w:val="style4"/>
            </w:pPr>
            <w:r>
              <w:t xml:space="preserve">Wewnątrzoponowa synteza </w:t>
            </w:r>
            <w:proofErr w:type="spellStart"/>
            <w:r>
              <w:t>IgG</w:t>
            </w:r>
            <w:proofErr w:type="spellEnd"/>
          </w:p>
        </w:tc>
      </w:tr>
      <w:tr w:rsidR="002F7582" w:rsidTr="002F7582">
        <w:tc>
          <w:tcPr>
            <w:tcW w:w="817" w:type="dxa"/>
            <w:shd w:val="pct10" w:color="auto" w:fill="auto"/>
          </w:tcPr>
          <w:p w:rsidR="002F7582" w:rsidRPr="002F7582" w:rsidRDefault="002F7582" w:rsidP="0030365F">
            <w:pPr>
              <w:pStyle w:val="style4"/>
              <w:rPr>
                <w:b/>
              </w:rPr>
            </w:pPr>
            <w:r w:rsidRPr="002F7582">
              <w:rPr>
                <w:b/>
              </w:rPr>
              <w:t>3</w:t>
            </w:r>
          </w:p>
        </w:tc>
        <w:tc>
          <w:tcPr>
            <w:tcW w:w="2835" w:type="dxa"/>
          </w:tcPr>
          <w:p w:rsidR="002F7582" w:rsidRDefault="002F7582" w:rsidP="0030365F">
            <w:pPr>
              <w:pStyle w:val="style4"/>
            </w:pPr>
            <w:r>
              <w:t>obecne</w:t>
            </w:r>
          </w:p>
        </w:tc>
        <w:tc>
          <w:tcPr>
            <w:tcW w:w="3257" w:type="dxa"/>
          </w:tcPr>
          <w:p w:rsidR="002F7582" w:rsidRDefault="00184F93" w:rsidP="0030365F">
            <w:pPr>
              <w:pStyle w:val="style4"/>
            </w:pPr>
            <w:r>
              <w:t>Prążki identyczne jak w surowicy oraz dodatkowe</w:t>
            </w:r>
          </w:p>
        </w:tc>
        <w:tc>
          <w:tcPr>
            <w:tcW w:w="2303" w:type="dxa"/>
          </w:tcPr>
          <w:p w:rsidR="002F7582" w:rsidRDefault="00184F93" w:rsidP="0030365F">
            <w:pPr>
              <w:pStyle w:val="style4"/>
            </w:pPr>
            <w:r>
              <w:t>Zapalenia ogólnoustrojowe z zajęciem OUN</w:t>
            </w:r>
          </w:p>
        </w:tc>
      </w:tr>
      <w:tr w:rsidR="002F7582" w:rsidTr="002F7582">
        <w:tc>
          <w:tcPr>
            <w:tcW w:w="817" w:type="dxa"/>
            <w:shd w:val="pct10" w:color="auto" w:fill="auto"/>
          </w:tcPr>
          <w:p w:rsidR="002F7582" w:rsidRPr="002F7582" w:rsidRDefault="002F7582" w:rsidP="0030365F">
            <w:pPr>
              <w:pStyle w:val="style4"/>
              <w:rPr>
                <w:b/>
              </w:rPr>
            </w:pPr>
            <w:r w:rsidRPr="002F7582">
              <w:rPr>
                <w:b/>
              </w:rPr>
              <w:t>4</w:t>
            </w:r>
          </w:p>
        </w:tc>
        <w:tc>
          <w:tcPr>
            <w:tcW w:w="2835" w:type="dxa"/>
          </w:tcPr>
          <w:p w:rsidR="002F7582" w:rsidRDefault="002F7582" w:rsidP="0030365F">
            <w:pPr>
              <w:pStyle w:val="style4"/>
            </w:pPr>
            <w:r>
              <w:t>obecne</w:t>
            </w:r>
          </w:p>
        </w:tc>
        <w:tc>
          <w:tcPr>
            <w:tcW w:w="3257" w:type="dxa"/>
          </w:tcPr>
          <w:p w:rsidR="002F7582" w:rsidRDefault="00184F93" w:rsidP="0030365F">
            <w:pPr>
              <w:pStyle w:val="style4"/>
            </w:pPr>
            <w:r>
              <w:t>Prążki identyczne jak w surowicy</w:t>
            </w:r>
          </w:p>
        </w:tc>
        <w:tc>
          <w:tcPr>
            <w:tcW w:w="2303" w:type="dxa"/>
          </w:tcPr>
          <w:p w:rsidR="002F7582" w:rsidRDefault="00F810FE" w:rsidP="0030365F">
            <w:pPr>
              <w:pStyle w:val="style4"/>
            </w:pPr>
            <w:r>
              <w:t>Zapalenie ogólnoustrojowe</w:t>
            </w:r>
            <w:r w:rsidR="001D430A">
              <w:t xml:space="preserve">, bierna dyfuzja </w:t>
            </w:r>
            <w:proofErr w:type="spellStart"/>
            <w:r w:rsidR="001D430A">
              <w:t>IgG</w:t>
            </w:r>
            <w:proofErr w:type="spellEnd"/>
          </w:p>
        </w:tc>
      </w:tr>
      <w:tr w:rsidR="002F7582" w:rsidTr="002F7582">
        <w:tc>
          <w:tcPr>
            <w:tcW w:w="817" w:type="dxa"/>
            <w:shd w:val="pct10" w:color="auto" w:fill="auto"/>
          </w:tcPr>
          <w:p w:rsidR="002F7582" w:rsidRPr="002F7582" w:rsidRDefault="002F7582" w:rsidP="0030365F">
            <w:pPr>
              <w:pStyle w:val="style4"/>
              <w:rPr>
                <w:b/>
              </w:rPr>
            </w:pPr>
            <w:r w:rsidRPr="002F7582">
              <w:rPr>
                <w:b/>
              </w:rPr>
              <w:t>5</w:t>
            </w:r>
          </w:p>
        </w:tc>
        <w:tc>
          <w:tcPr>
            <w:tcW w:w="2835" w:type="dxa"/>
          </w:tcPr>
          <w:p w:rsidR="002F7582" w:rsidRDefault="002F7582" w:rsidP="0030365F">
            <w:pPr>
              <w:pStyle w:val="style4"/>
            </w:pPr>
            <w:r>
              <w:t>Jeden lub kilka silnie wysyconych prążków monoklonalnych</w:t>
            </w:r>
          </w:p>
        </w:tc>
        <w:tc>
          <w:tcPr>
            <w:tcW w:w="3257" w:type="dxa"/>
          </w:tcPr>
          <w:p w:rsidR="002F7582" w:rsidRDefault="00184F93" w:rsidP="0030365F">
            <w:pPr>
              <w:pStyle w:val="style4"/>
            </w:pPr>
            <w:r>
              <w:t>Obraz identyczny jak w surowicy</w:t>
            </w:r>
          </w:p>
        </w:tc>
        <w:tc>
          <w:tcPr>
            <w:tcW w:w="2303" w:type="dxa"/>
          </w:tcPr>
          <w:p w:rsidR="002F7582" w:rsidRDefault="00184F93" w:rsidP="0030365F">
            <w:pPr>
              <w:pStyle w:val="style4"/>
            </w:pPr>
            <w:r>
              <w:t>dysproteinemia</w:t>
            </w:r>
          </w:p>
        </w:tc>
      </w:tr>
    </w:tbl>
    <w:p w:rsidR="001D430A" w:rsidRDefault="001D430A" w:rsidP="001D430A">
      <w:pPr>
        <w:pStyle w:val="Tekstpodstawowy"/>
        <w:rPr>
          <w:lang w:val="en-GB"/>
        </w:rPr>
      </w:pPr>
    </w:p>
    <w:p w:rsidR="001D430A" w:rsidRDefault="001D430A" w:rsidP="001D430A">
      <w:pPr>
        <w:pStyle w:val="Tekstpodstawowy"/>
        <w:rPr>
          <w:lang w:val="en-GB"/>
        </w:rPr>
      </w:pPr>
      <w:r>
        <w:rPr>
          <w:lang w:val="en-GB"/>
        </w:rPr>
        <w:t>*</w:t>
      </w:r>
      <w:proofErr w:type="spellStart"/>
      <w:r>
        <w:rPr>
          <w:lang w:val="en-GB"/>
        </w:rPr>
        <w:t>Andersson</w:t>
      </w:r>
      <w:proofErr w:type="spellEnd"/>
      <w:r>
        <w:rPr>
          <w:lang w:val="en-GB"/>
        </w:rPr>
        <w:t xml:space="preserve"> J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wsp</w:t>
      </w:r>
      <w:proofErr w:type="spellEnd"/>
      <w:r>
        <w:rPr>
          <w:lang w:val="en-GB"/>
        </w:rPr>
        <w:t xml:space="preserve">: Cerebrospinal fluid in the diagnosis of multiple sclerosis: a consensus report. J </w:t>
      </w:r>
      <w:proofErr w:type="spellStart"/>
      <w:r>
        <w:rPr>
          <w:lang w:val="en-GB"/>
        </w:rPr>
        <w:t>Neurol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Neurosurg</w:t>
      </w:r>
      <w:proofErr w:type="spellEnd"/>
      <w:r>
        <w:rPr>
          <w:lang w:val="en-GB"/>
        </w:rPr>
        <w:t xml:space="preserve"> Psychiatry 1994; 57: 897-902</w:t>
      </w:r>
    </w:p>
    <w:p w:rsidR="001D430A" w:rsidRDefault="001D430A" w:rsidP="001D430A">
      <w:pPr>
        <w:pStyle w:val="Tekstpodstawowy"/>
        <w:rPr>
          <w:lang w:val="en-GB"/>
        </w:rPr>
      </w:pPr>
      <w:r>
        <w:rPr>
          <w:lang w:val="en-GB"/>
        </w:rPr>
        <w:t>*</w:t>
      </w:r>
      <w:proofErr w:type="spellStart"/>
      <w:r>
        <w:rPr>
          <w:lang w:val="en-GB"/>
        </w:rPr>
        <w:t>Deisenhammer</w:t>
      </w:r>
      <w:proofErr w:type="spellEnd"/>
      <w:r>
        <w:rPr>
          <w:lang w:val="en-GB"/>
        </w:rPr>
        <w:t xml:space="preserve"> F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wsp</w:t>
      </w:r>
      <w:proofErr w:type="spellEnd"/>
      <w:r>
        <w:rPr>
          <w:lang w:val="en-GB"/>
        </w:rPr>
        <w:t xml:space="preserve">.: Guidelines on routine cerebrospinal fluid analysis. Report from an EFNS task force. </w:t>
      </w:r>
      <w:proofErr w:type="spellStart"/>
      <w:r>
        <w:rPr>
          <w:lang w:val="en-GB"/>
        </w:rPr>
        <w:t>Eur</w:t>
      </w:r>
      <w:proofErr w:type="spellEnd"/>
      <w:r>
        <w:rPr>
          <w:lang w:val="en-GB"/>
        </w:rPr>
        <w:t xml:space="preserve"> J </w:t>
      </w:r>
      <w:proofErr w:type="spellStart"/>
      <w:r>
        <w:rPr>
          <w:lang w:val="en-GB"/>
        </w:rPr>
        <w:t>Neurol</w:t>
      </w:r>
      <w:proofErr w:type="spellEnd"/>
      <w:r>
        <w:rPr>
          <w:lang w:val="en-GB"/>
        </w:rPr>
        <w:t xml:space="preserve"> 2006</w:t>
      </w:r>
    </w:p>
    <w:p w:rsidR="0030365F" w:rsidRDefault="0030365F" w:rsidP="0030365F">
      <w:pPr>
        <w:pStyle w:val="style1"/>
      </w:pPr>
    </w:p>
    <w:p w:rsidR="00DA0900" w:rsidRDefault="00DA0900"/>
    <w:sectPr w:rsidR="00DA0900" w:rsidSect="00DA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3950"/>
    <w:multiLevelType w:val="hybridMultilevel"/>
    <w:tmpl w:val="1D269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651E6"/>
    <w:multiLevelType w:val="hybridMultilevel"/>
    <w:tmpl w:val="1D269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365F"/>
    <w:rsid w:val="00127C5F"/>
    <w:rsid w:val="00184F93"/>
    <w:rsid w:val="001D430A"/>
    <w:rsid w:val="0027731D"/>
    <w:rsid w:val="002B57DD"/>
    <w:rsid w:val="002F7582"/>
    <w:rsid w:val="0030365F"/>
    <w:rsid w:val="0055271A"/>
    <w:rsid w:val="005A1851"/>
    <w:rsid w:val="0063779B"/>
    <w:rsid w:val="006B611B"/>
    <w:rsid w:val="0073155B"/>
    <w:rsid w:val="007E7FA1"/>
    <w:rsid w:val="00A23982"/>
    <w:rsid w:val="00BF0EDF"/>
    <w:rsid w:val="00CE2818"/>
    <w:rsid w:val="00DA0900"/>
    <w:rsid w:val="00EE0425"/>
    <w:rsid w:val="00F810FE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30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365F"/>
    <w:rPr>
      <w:b/>
      <w:bCs/>
    </w:rPr>
  </w:style>
  <w:style w:type="paragraph" w:customStyle="1" w:styleId="style1">
    <w:name w:val="style1"/>
    <w:basedOn w:val="Normalny"/>
    <w:rsid w:val="0030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">
    <w:name w:val="Medium Shading 2"/>
    <w:basedOn w:val="Standardowy"/>
    <w:uiPriority w:val="64"/>
    <w:rsid w:val="002F75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2">
    <w:name w:val="Medium Grid 2"/>
    <w:basedOn w:val="Standardowy"/>
    <w:uiPriority w:val="68"/>
    <w:rsid w:val="002F75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43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43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 Palejko</cp:lastModifiedBy>
  <cp:revision>18</cp:revision>
  <dcterms:created xsi:type="dcterms:W3CDTF">2015-04-20T10:17:00Z</dcterms:created>
  <dcterms:modified xsi:type="dcterms:W3CDTF">2025-12-10T08:35:00Z</dcterms:modified>
</cp:coreProperties>
</file>